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DD8D4" w14:textId="00BC5E94" w:rsidR="008253F5" w:rsidRPr="001B60F8" w:rsidRDefault="008253F5" w:rsidP="001B60F8">
      <w:pPr>
        <w:spacing w:after="0" w:line="240" w:lineRule="auto"/>
        <w:jc w:val="center"/>
        <w:rPr>
          <w:rFonts w:cstheme="minorHAnsi"/>
          <w:b/>
          <w:bCs/>
        </w:rPr>
      </w:pPr>
      <w:r w:rsidRPr="001B60F8">
        <w:rPr>
          <w:rFonts w:cstheme="minorHAnsi"/>
          <w:b/>
          <w:bCs/>
        </w:rPr>
        <w:t>PROJECT NO. 5</w:t>
      </w:r>
      <w:r w:rsidR="00385299">
        <w:rPr>
          <w:rFonts w:cstheme="minorHAnsi"/>
          <w:b/>
          <w:bCs/>
        </w:rPr>
        <w:t>4335</w:t>
      </w:r>
    </w:p>
    <w:p w14:paraId="0B340ACB" w14:textId="77777777" w:rsidR="008253F5" w:rsidRPr="001B60F8" w:rsidRDefault="008253F5" w:rsidP="001B60F8">
      <w:pPr>
        <w:spacing w:after="0" w:line="240" w:lineRule="auto"/>
        <w:jc w:val="center"/>
        <w:rPr>
          <w:rFonts w:cstheme="minorHAnsi"/>
          <w:b/>
          <w:bCs/>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720"/>
        <w:gridCol w:w="4320"/>
      </w:tblGrid>
      <w:tr w:rsidR="008253F5" w:rsidRPr="001B60F8" w14:paraId="12355AC5" w14:textId="77777777">
        <w:tc>
          <w:tcPr>
            <w:tcW w:w="4320" w:type="dxa"/>
            <w:vAlign w:val="center"/>
          </w:tcPr>
          <w:p w14:paraId="668ED60D" w14:textId="5B8D4726" w:rsidR="008253F5" w:rsidRPr="001B60F8" w:rsidRDefault="00385299" w:rsidP="001B60F8">
            <w:pPr>
              <w:jc w:val="center"/>
              <w:rPr>
                <w:rFonts w:cstheme="minorHAnsi"/>
                <w:b/>
                <w:bCs/>
              </w:rPr>
            </w:pPr>
            <w:r w:rsidRPr="00385299">
              <w:rPr>
                <w:rFonts w:cstheme="minorHAnsi"/>
                <w:b/>
                <w:bCs/>
              </w:rPr>
              <w:t>REVIEW OF MARKET REFORM ASSESSMENT PRODUCED BY ENERGY AND ENVIRONMENTAL ECONOMICS, INC. (E3)</w:t>
            </w:r>
          </w:p>
        </w:tc>
        <w:tc>
          <w:tcPr>
            <w:tcW w:w="720" w:type="dxa"/>
            <w:vAlign w:val="center"/>
          </w:tcPr>
          <w:p w14:paraId="10B6956E" w14:textId="77777777" w:rsidR="008253F5" w:rsidRPr="001B60F8" w:rsidRDefault="008253F5" w:rsidP="001B60F8">
            <w:pPr>
              <w:jc w:val="center"/>
              <w:rPr>
                <w:rFonts w:cstheme="minorHAnsi"/>
                <w:b/>
                <w:bCs/>
              </w:rPr>
            </w:pPr>
            <w:r w:rsidRPr="001B60F8">
              <w:rPr>
                <w:rFonts w:cstheme="minorHAnsi"/>
                <w:b/>
                <w:bCs/>
              </w:rPr>
              <w:t>§</w:t>
            </w:r>
          </w:p>
          <w:p w14:paraId="478F553B" w14:textId="77777777" w:rsidR="008253F5" w:rsidRPr="001B60F8" w:rsidRDefault="008253F5" w:rsidP="001B60F8">
            <w:pPr>
              <w:jc w:val="center"/>
              <w:rPr>
                <w:rFonts w:cstheme="minorHAnsi"/>
                <w:b/>
                <w:bCs/>
              </w:rPr>
            </w:pPr>
            <w:r w:rsidRPr="001B60F8">
              <w:rPr>
                <w:rFonts w:cstheme="minorHAnsi"/>
                <w:b/>
                <w:bCs/>
              </w:rPr>
              <w:t>§</w:t>
            </w:r>
          </w:p>
          <w:p w14:paraId="60C5A215" w14:textId="77777777" w:rsidR="008253F5" w:rsidRPr="001B60F8" w:rsidRDefault="008253F5" w:rsidP="001B60F8">
            <w:pPr>
              <w:jc w:val="center"/>
              <w:rPr>
                <w:rFonts w:cstheme="minorHAnsi"/>
                <w:b/>
                <w:bCs/>
              </w:rPr>
            </w:pPr>
            <w:r w:rsidRPr="001B60F8">
              <w:rPr>
                <w:rFonts w:cstheme="minorHAnsi"/>
                <w:b/>
                <w:bCs/>
              </w:rPr>
              <w:t>§</w:t>
            </w:r>
          </w:p>
        </w:tc>
        <w:tc>
          <w:tcPr>
            <w:tcW w:w="4320" w:type="dxa"/>
            <w:vAlign w:val="center"/>
          </w:tcPr>
          <w:p w14:paraId="18E7DDD1" w14:textId="77777777" w:rsidR="008253F5" w:rsidRPr="001B60F8" w:rsidRDefault="008253F5" w:rsidP="001B60F8">
            <w:pPr>
              <w:jc w:val="center"/>
              <w:rPr>
                <w:rFonts w:cstheme="minorHAnsi"/>
                <w:b/>
                <w:bCs/>
              </w:rPr>
            </w:pPr>
            <w:r w:rsidRPr="001B60F8">
              <w:rPr>
                <w:rFonts w:cstheme="minorHAnsi"/>
                <w:b/>
                <w:bCs/>
              </w:rPr>
              <w:t>PUBLIC UTILITY COMMISSION OF TEXAS</w:t>
            </w:r>
          </w:p>
        </w:tc>
      </w:tr>
    </w:tbl>
    <w:p w14:paraId="23E7E1C1" w14:textId="77777777" w:rsidR="008253F5" w:rsidRPr="001B60F8" w:rsidRDefault="008253F5" w:rsidP="001B60F8">
      <w:pPr>
        <w:spacing w:after="0" w:line="240" w:lineRule="auto"/>
        <w:rPr>
          <w:rFonts w:cstheme="minorHAnsi"/>
          <w:b/>
          <w:bCs/>
        </w:rPr>
      </w:pPr>
    </w:p>
    <w:p w14:paraId="11CC66B5" w14:textId="5E5E29AE" w:rsidR="008253F5" w:rsidRPr="001B60F8" w:rsidRDefault="008253F5" w:rsidP="001B60F8">
      <w:pPr>
        <w:spacing w:after="0" w:line="240" w:lineRule="auto"/>
        <w:jc w:val="center"/>
        <w:rPr>
          <w:rFonts w:cstheme="minorHAnsi"/>
          <w:b/>
          <w:bCs/>
          <w:u w:val="single"/>
        </w:rPr>
      </w:pPr>
      <w:r w:rsidRPr="001B60F8">
        <w:rPr>
          <w:rFonts w:cstheme="minorHAnsi"/>
          <w:b/>
          <w:bCs/>
          <w:u w:val="single"/>
        </w:rPr>
        <w:t xml:space="preserve">TEXAS PUBLIC POLICY FOUNDATION'S COMMENTS ON </w:t>
      </w:r>
      <w:r w:rsidR="0083641B" w:rsidRPr="001B60F8">
        <w:rPr>
          <w:rFonts w:cstheme="minorHAnsi"/>
          <w:b/>
          <w:bCs/>
          <w:u w:val="single"/>
        </w:rPr>
        <w:t>E3</w:t>
      </w:r>
      <w:r w:rsidRPr="001B60F8">
        <w:rPr>
          <w:rFonts w:cstheme="minorHAnsi"/>
          <w:b/>
          <w:bCs/>
          <w:u w:val="single"/>
        </w:rPr>
        <w:t xml:space="preserve"> MARKET REDESIGN </w:t>
      </w:r>
      <w:r w:rsidR="0083641B" w:rsidRPr="001B60F8">
        <w:rPr>
          <w:rFonts w:cstheme="minorHAnsi"/>
          <w:b/>
          <w:bCs/>
          <w:u w:val="single"/>
        </w:rPr>
        <w:t>STUDY</w:t>
      </w:r>
    </w:p>
    <w:p w14:paraId="698CED11" w14:textId="77777777" w:rsidR="008253F5" w:rsidRPr="001B60F8" w:rsidRDefault="008253F5" w:rsidP="001B60F8">
      <w:pPr>
        <w:spacing w:after="0" w:line="240" w:lineRule="auto"/>
        <w:rPr>
          <w:rFonts w:cstheme="minorHAnsi"/>
        </w:rPr>
      </w:pPr>
    </w:p>
    <w:p w14:paraId="5E6F91AC" w14:textId="77777777" w:rsidR="008253F5" w:rsidRPr="001B60F8" w:rsidRDefault="008253F5" w:rsidP="001B60F8">
      <w:pPr>
        <w:spacing w:after="0" w:line="240" w:lineRule="auto"/>
        <w:rPr>
          <w:rFonts w:cstheme="minorHAnsi"/>
        </w:rPr>
      </w:pPr>
      <w:r w:rsidRPr="001B60F8">
        <w:rPr>
          <w:rFonts w:cstheme="minorHAnsi"/>
        </w:rPr>
        <w:t>TO THE HONORABLE PUBLIC UTILITY COMMISSION OF TEXAS:</w:t>
      </w:r>
    </w:p>
    <w:p w14:paraId="79344DEB" w14:textId="77777777" w:rsidR="008253F5" w:rsidRPr="001B60F8" w:rsidRDefault="008253F5" w:rsidP="001B60F8">
      <w:pPr>
        <w:spacing w:after="0" w:line="240" w:lineRule="auto"/>
        <w:rPr>
          <w:rFonts w:cstheme="minorHAnsi"/>
        </w:rPr>
      </w:pPr>
    </w:p>
    <w:p w14:paraId="669E39CA" w14:textId="7EB43B9C" w:rsidR="008253F5" w:rsidRDefault="008253F5" w:rsidP="001B60F8">
      <w:pPr>
        <w:spacing w:after="0" w:line="240" w:lineRule="auto"/>
        <w:rPr>
          <w:rFonts w:cstheme="minorHAnsi"/>
        </w:rPr>
      </w:pPr>
      <w:r w:rsidRPr="001B60F8">
        <w:rPr>
          <w:rFonts w:cstheme="minorHAnsi"/>
        </w:rPr>
        <w:t xml:space="preserve">The Texas Public Policy Foundation (TPPF), through its Life:Powered initiative, respectfully submits the following comments in response to the </w:t>
      </w:r>
      <w:r w:rsidR="004274F3" w:rsidRPr="001B60F8">
        <w:rPr>
          <w:rFonts w:cstheme="minorHAnsi"/>
        </w:rPr>
        <w:t xml:space="preserve">E3 </w:t>
      </w:r>
      <w:r w:rsidRPr="001B60F8">
        <w:rPr>
          <w:rFonts w:cstheme="minorHAnsi"/>
        </w:rPr>
        <w:t xml:space="preserve">market redesign </w:t>
      </w:r>
      <w:r w:rsidR="004F476A" w:rsidRPr="001B60F8">
        <w:rPr>
          <w:rFonts w:cstheme="minorHAnsi"/>
        </w:rPr>
        <w:t xml:space="preserve">study </w:t>
      </w:r>
      <w:r w:rsidR="004274F3" w:rsidRPr="001B60F8">
        <w:rPr>
          <w:rFonts w:cstheme="minorHAnsi"/>
        </w:rPr>
        <w:t>published</w:t>
      </w:r>
      <w:r w:rsidR="004F476A" w:rsidRPr="001B60F8">
        <w:rPr>
          <w:rFonts w:cstheme="minorHAnsi"/>
        </w:rPr>
        <w:t xml:space="preserve"> on </w:t>
      </w:r>
      <w:r w:rsidR="004274F3" w:rsidRPr="001B60F8">
        <w:rPr>
          <w:rFonts w:cstheme="minorHAnsi"/>
        </w:rPr>
        <w:t>November 9 and the PUC staff questions for comment</w:t>
      </w:r>
      <w:r w:rsidR="000569D5">
        <w:rPr>
          <w:rFonts w:cstheme="minorHAnsi"/>
        </w:rPr>
        <w:t>.</w:t>
      </w:r>
      <w:r w:rsidRPr="001B60F8">
        <w:rPr>
          <w:rStyle w:val="FootnoteReference"/>
          <w:rFonts w:cstheme="minorHAnsi"/>
        </w:rPr>
        <w:footnoteReference w:id="2"/>
      </w:r>
      <w:r w:rsidR="00D02FCE" w:rsidRPr="001B60F8">
        <w:rPr>
          <w:rFonts w:cstheme="minorHAnsi"/>
        </w:rPr>
        <w:t xml:space="preserve"> Our comments begin with some general pri</w:t>
      </w:r>
      <w:r w:rsidR="00C63060" w:rsidRPr="001B60F8">
        <w:rPr>
          <w:rFonts w:cstheme="minorHAnsi"/>
        </w:rPr>
        <w:t xml:space="preserve">nciples that we will continue to advocate for in the market redesign process, followed by some specific critiques </w:t>
      </w:r>
      <w:r w:rsidR="00F00413" w:rsidRPr="001B60F8">
        <w:rPr>
          <w:rFonts w:cstheme="minorHAnsi"/>
        </w:rPr>
        <w:t>of the E3 report and recommendations for improvement, and ending with answers to the PUC staff questions.</w:t>
      </w:r>
    </w:p>
    <w:p w14:paraId="40EB4602" w14:textId="77777777" w:rsidR="0027679F" w:rsidRDefault="0027679F" w:rsidP="001B60F8">
      <w:pPr>
        <w:spacing w:after="0" w:line="240" w:lineRule="auto"/>
        <w:rPr>
          <w:rFonts w:cstheme="minorHAnsi"/>
        </w:rPr>
      </w:pPr>
    </w:p>
    <w:p w14:paraId="535181DC" w14:textId="77777777" w:rsidR="00283F81" w:rsidRDefault="002766F4" w:rsidP="001B60F8">
      <w:pPr>
        <w:spacing w:after="0" w:line="240" w:lineRule="auto"/>
        <w:rPr>
          <w:rFonts w:cstheme="minorHAnsi"/>
        </w:rPr>
      </w:pPr>
      <w:r w:rsidRPr="00283F81">
        <w:rPr>
          <w:rFonts w:cstheme="minorHAnsi"/>
          <w:b/>
          <w:bCs/>
        </w:rPr>
        <w:t xml:space="preserve">Any market redesign needs to address the </w:t>
      </w:r>
      <w:r w:rsidRPr="00283F81">
        <w:rPr>
          <w:rFonts w:cstheme="minorHAnsi"/>
          <w:b/>
          <w:bCs/>
          <w:i/>
          <w:iCs/>
        </w:rPr>
        <w:t>overinvestment</w:t>
      </w:r>
      <w:r w:rsidRPr="00283F81">
        <w:rPr>
          <w:rFonts w:cstheme="minorHAnsi"/>
          <w:b/>
          <w:bCs/>
        </w:rPr>
        <w:t xml:space="preserve"> in wind and solar generation </w:t>
      </w:r>
      <w:r w:rsidR="00C37216" w:rsidRPr="00283F81">
        <w:rPr>
          <w:rFonts w:cstheme="minorHAnsi"/>
          <w:b/>
          <w:bCs/>
        </w:rPr>
        <w:t xml:space="preserve">in addition to the </w:t>
      </w:r>
      <w:r w:rsidR="00C37216" w:rsidRPr="00283F81">
        <w:rPr>
          <w:rFonts w:cstheme="minorHAnsi"/>
          <w:b/>
          <w:bCs/>
          <w:i/>
          <w:iCs/>
        </w:rPr>
        <w:t>underinvestment</w:t>
      </w:r>
      <w:r w:rsidR="00C37216" w:rsidRPr="00283F81">
        <w:rPr>
          <w:rFonts w:cstheme="minorHAnsi"/>
          <w:b/>
          <w:bCs/>
        </w:rPr>
        <w:t xml:space="preserve"> in dispatchable generation.</w:t>
      </w:r>
      <w:r w:rsidR="00C37216">
        <w:rPr>
          <w:rFonts w:cstheme="minorHAnsi"/>
        </w:rPr>
        <w:t xml:space="preserve"> </w:t>
      </w:r>
    </w:p>
    <w:p w14:paraId="1F243419" w14:textId="77777777" w:rsidR="00283F81" w:rsidRDefault="00283F81" w:rsidP="001B60F8">
      <w:pPr>
        <w:spacing w:after="0" w:line="240" w:lineRule="auto"/>
        <w:rPr>
          <w:rFonts w:cstheme="minorHAnsi"/>
        </w:rPr>
      </w:pPr>
    </w:p>
    <w:p w14:paraId="2D3BB583" w14:textId="53573C3D" w:rsidR="00FA4010" w:rsidRDefault="00C37216" w:rsidP="001B60F8">
      <w:pPr>
        <w:spacing w:after="0" w:line="240" w:lineRule="auto"/>
        <w:rPr>
          <w:rFonts w:cstheme="minorHAnsi"/>
        </w:rPr>
      </w:pPr>
      <w:r>
        <w:rPr>
          <w:rFonts w:cstheme="minorHAnsi"/>
        </w:rPr>
        <w:t xml:space="preserve">Any program that only </w:t>
      </w:r>
      <w:r w:rsidR="00283F81">
        <w:rPr>
          <w:rFonts w:cstheme="minorHAnsi"/>
        </w:rPr>
        <w:t>addresses the underinvestment problem</w:t>
      </w:r>
      <w:r>
        <w:rPr>
          <w:rFonts w:cstheme="minorHAnsi"/>
        </w:rPr>
        <w:t xml:space="preserve"> is simply </w:t>
      </w:r>
      <w:r w:rsidR="00283F81">
        <w:rPr>
          <w:rFonts w:cstheme="minorHAnsi"/>
        </w:rPr>
        <w:t xml:space="preserve">countering the federal subsidies for wind and solar with state subsidies for dispatchable generation and will lead to </w:t>
      </w:r>
      <w:r w:rsidR="00482213">
        <w:rPr>
          <w:rFonts w:cstheme="minorHAnsi"/>
        </w:rPr>
        <w:t>skyrock</w:t>
      </w:r>
      <w:r w:rsidR="00B4060A">
        <w:rPr>
          <w:rFonts w:cstheme="minorHAnsi"/>
        </w:rPr>
        <w:t>e</w:t>
      </w:r>
      <w:r w:rsidR="00482213">
        <w:rPr>
          <w:rFonts w:cstheme="minorHAnsi"/>
        </w:rPr>
        <w:t>ting</w:t>
      </w:r>
      <w:r w:rsidR="00283F81">
        <w:rPr>
          <w:rFonts w:cstheme="minorHAnsi"/>
        </w:rPr>
        <w:t xml:space="preserve"> costs for ratepayers.</w:t>
      </w:r>
      <w:r w:rsidR="00F04AE0">
        <w:rPr>
          <w:rFonts w:cstheme="minorHAnsi"/>
        </w:rPr>
        <w:t xml:space="preserve"> Over $80 billion in private capital</w:t>
      </w:r>
      <w:r w:rsidR="00976F9C">
        <w:rPr>
          <w:rStyle w:val="FootnoteReference"/>
          <w:rFonts w:cstheme="minorHAnsi"/>
        </w:rPr>
        <w:footnoteReference w:id="3"/>
      </w:r>
      <w:r w:rsidR="00F04AE0">
        <w:rPr>
          <w:rFonts w:cstheme="minorHAnsi"/>
        </w:rPr>
        <w:t xml:space="preserve"> and $20 billion in federal and state </w:t>
      </w:r>
      <w:r w:rsidR="00BB457A">
        <w:rPr>
          <w:rFonts w:cstheme="minorHAnsi"/>
        </w:rPr>
        <w:t>incentives</w:t>
      </w:r>
      <w:r w:rsidR="000569D5">
        <w:rPr>
          <w:rFonts w:cstheme="minorHAnsi"/>
        </w:rPr>
        <w:t>,</w:t>
      </w:r>
      <w:r w:rsidR="000148EF">
        <w:rPr>
          <w:rStyle w:val="FootnoteReference"/>
          <w:rFonts w:cstheme="minorHAnsi"/>
        </w:rPr>
        <w:footnoteReference w:id="4"/>
      </w:r>
      <w:r w:rsidR="0029042A">
        <w:rPr>
          <w:rFonts w:cstheme="minorHAnsi"/>
        </w:rPr>
        <w:t xml:space="preserve"> including </w:t>
      </w:r>
      <w:r w:rsidR="00BB457A">
        <w:rPr>
          <w:rFonts w:cstheme="minorHAnsi"/>
        </w:rPr>
        <w:t xml:space="preserve">the subsidizing of </w:t>
      </w:r>
      <w:r w:rsidR="0029042A">
        <w:rPr>
          <w:rFonts w:cstheme="minorHAnsi"/>
        </w:rPr>
        <w:t>transmission</w:t>
      </w:r>
      <w:r w:rsidR="000148EF">
        <w:rPr>
          <w:rFonts w:cstheme="minorHAnsi"/>
        </w:rPr>
        <w:t xml:space="preserve"> costs</w:t>
      </w:r>
      <w:r w:rsidR="00BB457A">
        <w:rPr>
          <w:rFonts w:cstheme="minorHAnsi"/>
        </w:rPr>
        <w:t>,</w:t>
      </w:r>
      <w:r w:rsidR="00F04AE0">
        <w:rPr>
          <w:rFonts w:cstheme="minorHAnsi"/>
        </w:rPr>
        <w:t xml:space="preserve"> </w:t>
      </w:r>
      <w:r w:rsidR="00945A65">
        <w:rPr>
          <w:rFonts w:cstheme="minorHAnsi"/>
        </w:rPr>
        <w:t>h</w:t>
      </w:r>
      <w:r w:rsidR="0029042A">
        <w:rPr>
          <w:rFonts w:cstheme="minorHAnsi"/>
        </w:rPr>
        <w:t>a</w:t>
      </w:r>
      <w:r w:rsidR="00945A65">
        <w:rPr>
          <w:rFonts w:cstheme="minorHAnsi"/>
        </w:rPr>
        <w:t xml:space="preserve">ve supported </w:t>
      </w:r>
      <w:r w:rsidR="00BB457A">
        <w:rPr>
          <w:rFonts w:cstheme="minorHAnsi"/>
        </w:rPr>
        <w:t>the massive buildout of wind and solar infrastructure in ERCOT.</w:t>
      </w:r>
      <w:r w:rsidR="00945A65">
        <w:rPr>
          <w:rFonts w:cstheme="minorHAnsi"/>
        </w:rPr>
        <w:t xml:space="preserve"> </w:t>
      </w:r>
      <w:r w:rsidR="002339E9">
        <w:rPr>
          <w:rFonts w:cstheme="minorHAnsi"/>
        </w:rPr>
        <w:t xml:space="preserve">That </w:t>
      </w:r>
      <w:r w:rsidR="0086277A">
        <w:rPr>
          <w:rFonts w:cstheme="minorHAnsi"/>
        </w:rPr>
        <w:t>infrastructure</w:t>
      </w:r>
      <w:r w:rsidR="002339E9">
        <w:rPr>
          <w:rFonts w:cstheme="minorHAnsi"/>
        </w:rPr>
        <w:t xml:space="preserve"> produced </w:t>
      </w:r>
      <w:r w:rsidR="008D2607">
        <w:rPr>
          <w:rFonts w:cstheme="minorHAnsi"/>
        </w:rPr>
        <w:t>only</w:t>
      </w:r>
      <w:r w:rsidR="002339E9">
        <w:rPr>
          <w:rFonts w:cstheme="minorHAnsi"/>
        </w:rPr>
        <w:t xml:space="preserve"> 10% of the state’s </w:t>
      </w:r>
      <w:r w:rsidR="0086277A">
        <w:rPr>
          <w:rFonts w:cstheme="minorHAnsi"/>
        </w:rPr>
        <w:t>electricity</w:t>
      </w:r>
      <w:r w:rsidR="002339E9">
        <w:rPr>
          <w:rFonts w:cstheme="minorHAnsi"/>
        </w:rPr>
        <w:t xml:space="preserve"> </w:t>
      </w:r>
      <w:r w:rsidR="0086277A">
        <w:rPr>
          <w:rFonts w:cstheme="minorHAnsi"/>
        </w:rPr>
        <w:t>during Winter Storm Uri</w:t>
      </w:r>
      <w:r w:rsidR="00425541">
        <w:rPr>
          <w:rFonts w:cstheme="minorHAnsi"/>
        </w:rPr>
        <w:t xml:space="preserve">, roughly the same amount of electricity as the 5 GW of nuclear </w:t>
      </w:r>
      <w:r w:rsidR="003B0849">
        <w:rPr>
          <w:rFonts w:cstheme="minorHAnsi"/>
        </w:rPr>
        <w:t>generation in ERCOT</w:t>
      </w:r>
      <w:r w:rsidR="00FF467B">
        <w:rPr>
          <w:rFonts w:cstheme="minorHAnsi"/>
        </w:rPr>
        <w:t>.</w:t>
      </w:r>
      <w:r w:rsidR="00EC4644">
        <w:rPr>
          <w:rStyle w:val="FootnoteReference"/>
          <w:rFonts w:cstheme="minorHAnsi"/>
        </w:rPr>
        <w:footnoteReference w:id="5"/>
      </w:r>
    </w:p>
    <w:p w14:paraId="69E50E31" w14:textId="77777777" w:rsidR="00FA4010" w:rsidRDefault="00FA4010" w:rsidP="001B60F8">
      <w:pPr>
        <w:spacing w:after="0" w:line="240" w:lineRule="auto"/>
        <w:rPr>
          <w:rFonts w:cstheme="minorHAnsi"/>
        </w:rPr>
      </w:pPr>
    </w:p>
    <w:p w14:paraId="022B1F92" w14:textId="3CAC4CC1" w:rsidR="002766F4" w:rsidRPr="00C37216" w:rsidRDefault="00945A65" w:rsidP="001B60F8">
      <w:pPr>
        <w:spacing w:after="0" w:line="240" w:lineRule="auto"/>
        <w:rPr>
          <w:rFonts w:cstheme="minorHAnsi"/>
        </w:rPr>
      </w:pPr>
      <w:r>
        <w:rPr>
          <w:rFonts w:cstheme="minorHAnsi"/>
        </w:rPr>
        <w:t>Even directing a quarter of th</w:t>
      </w:r>
      <w:r w:rsidR="003B0849">
        <w:rPr>
          <w:rFonts w:cstheme="minorHAnsi"/>
        </w:rPr>
        <w:t>e</w:t>
      </w:r>
      <w:r>
        <w:rPr>
          <w:rFonts w:cstheme="minorHAnsi"/>
        </w:rPr>
        <w:t xml:space="preserve"> </w:t>
      </w:r>
      <w:r w:rsidR="00D31E9C">
        <w:rPr>
          <w:rFonts w:cstheme="minorHAnsi"/>
        </w:rPr>
        <w:t xml:space="preserve">capital </w:t>
      </w:r>
      <w:r>
        <w:rPr>
          <w:rFonts w:cstheme="minorHAnsi"/>
        </w:rPr>
        <w:t xml:space="preserve">investment </w:t>
      </w:r>
      <w:r w:rsidR="003B0849">
        <w:rPr>
          <w:rFonts w:cstheme="minorHAnsi"/>
        </w:rPr>
        <w:t xml:space="preserve">in wind and solar </w:t>
      </w:r>
      <w:r w:rsidR="00BB457A">
        <w:rPr>
          <w:rFonts w:cstheme="minorHAnsi"/>
        </w:rPr>
        <w:t>toward dispatchable capacity</w:t>
      </w:r>
      <w:r w:rsidR="00DC6EA4">
        <w:rPr>
          <w:rFonts w:cstheme="minorHAnsi"/>
        </w:rPr>
        <w:t xml:space="preserve"> and weather resiliency</w:t>
      </w:r>
      <w:r>
        <w:rPr>
          <w:rFonts w:cstheme="minorHAnsi"/>
        </w:rPr>
        <w:t xml:space="preserve"> </w:t>
      </w:r>
      <w:r w:rsidR="008C544A">
        <w:rPr>
          <w:rFonts w:cstheme="minorHAnsi"/>
        </w:rPr>
        <w:t xml:space="preserve">would easily replace the output of a quarter </w:t>
      </w:r>
      <w:r w:rsidR="004753A3">
        <w:rPr>
          <w:rFonts w:cstheme="minorHAnsi"/>
        </w:rPr>
        <w:t>of the wind and solar fleet</w:t>
      </w:r>
      <w:r w:rsidR="008C544A">
        <w:rPr>
          <w:rFonts w:cstheme="minorHAnsi"/>
        </w:rPr>
        <w:t xml:space="preserve"> </w:t>
      </w:r>
      <w:r w:rsidR="00F722D8">
        <w:rPr>
          <w:rFonts w:cstheme="minorHAnsi"/>
        </w:rPr>
        <w:t xml:space="preserve">during the storm </w:t>
      </w:r>
      <w:r w:rsidR="008C544A">
        <w:rPr>
          <w:rFonts w:cstheme="minorHAnsi"/>
        </w:rPr>
        <w:t xml:space="preserve">while </w:t>
      </w:r>
      <w:r w:rsidR="00E24C52">
        <w:rPr>
          <w:rFonts w:cstheme="minorHAnsi"/>
        </w:rPr>
        <w:t>leaving</w:t>
      </w:r>
      <w:r w:rsidR="008C544A">
        <w:rPr>
          <w:rFonts w:cstheme="minorHAnsi"/>
        </w:rPr>
        <w:t xml:space="preserve"> billions</w:t>
      </w:r>
      <w:r w:rsidR="00E24C52">
        <w:rPr>
          <w:rFonts w:cstheme="minorHAnsi"/>
        </w:rPr>
        <w:t xml:space="preserve"> left over to be applied</w:t>
      </w:r>
      <w:r w:rsidR="008C544A">
        <w:rPr>
          <w:rFonts w:cstheme="minorHAnsi"/>
        </w:rPr>
        <w:t xml:space="preserve"> </w:t>
      </w:r>
      <w:r w:rsidR="00F722D8">
        <w:rPr>
          <w:rFonts w:cstheme="minorHAnsi"/>
        </w:rPr>
        <w:t xml:space="preserve">toward </w:t>
      </w:r>
      <w:r w:rsidR="008C544A">
        <w:rPr>
          <w:rFonts w:cstheme="minorHAnsi"/>
        </w:rPr>
        <w:t xml:space="preserve">weatherization. </w:t>
      </w:r>
      <w:r>
        <w:rPr>
          <w:rFonts w:cstheme="minorHAnsi"/>
        </w:rPr>
        <w:t xml:space="preserve">The </w:t>
      </w:r>
      <w:r w:rsidR="001045E3">
        <w:rPr>
          <w:rFonts w:cstheme="minorHAnsi"/>
        </w:rPr>
        <w:t xml:space="preserve">ERCOT </w:t>
      </w:r>
      <w:r w:rsidR="0029042A">
        <w:rPr>
          <w:rFonts w:cstheme="minorHAnsi"/>
        </w:rPr>
        <w:t>market does not need more investment</w:t>
      </w:r>
      <w:r w:rsidR="0005553B">
        <w:rPr>
          <w:rFonts w:cstheme="minorHAnsi"/>
        </w:rPr>
        <w:t xml:space="preserve">. It needs smarter investment targeted toward </w:t>
      </w:r>
      <w:r w:rsidR="001045E3">
        <w:rPr>
          <w:rFonts w:cstheme="minorHAnsi"/>
        </w:rPr>
        <w:t xml:space="preserve">the needs of everyday Texans and not the whims of federal policymakers who are </w:t>
      </w:r>
      <w:r w:rsidR="00822D5E">
        <w:rPr>
          <w:rFonts w:cstheme="minorHAnsi"/>
        </w:rPr>
        <w:t>unaffected</w:t>
      </w:r>
      <w:r w:rsidR="00CC3207">
        <w:rPr>
          <w:rFonts w:cstheme="minorHAnsi"/>
        </w:rPr>
        <w:t xml:space="preserve"> by the reliability problems </w:t>
      </w:r>
      <w:r w:rsidR="00822D5E">
        <w:rPr>
          <w:rFonts w:cstheme="minorHAnsi"/>
        </w:rPr>
        <w:t>their policies are creating for</w:t>
      </w:r>
      <w:r w:rsidR="00CC3207">
        <w:rPr>
          <w:rFonts w:cstheme="minorHAnsi"/>
        </w:rPr>
        <w:t xml:space="preserve"> the ERCOT market</w:t>
      </w:r>
      <w:r w:rsidR="001045E3">
        <w:rPr>
          <w:rFonts w:cstheme="minorHAnsi"/>
        </w:rPr>
        <w:t>.</w:t>
      </w:r>
    </w:p>
    <w:p w14:paraId="4372341C" w14:textId="77777777" w:rsidR="002766F4" w:rsidRDefault="002766F4" w:rsidP="001B60F8">
      <w:pPr>
        <w:spacing w:after="0" w:line="240" w:lineRule="auto"/>
        <w:rPr>
          <w:rFonts w:cstheme="minorHAnsi"/>
        </w:rPr>
      </w:pPr>
    </w:p>
    <w:p w14:paraId="35DA891C" w14:textId="02696360" w:rsidR="000A625D" w:rsidRPr="00827BF2" w:rsidRDefault="00A32803" w:rsidP="001B60F8">
      <w:pPr>
        <w:spacing w:after="0" w:line="240" w:lineRule="auto"/>
        <w:rPr>
          <w:rFonts w:cstheme="minorHAnsi"/>
          <w:b/>
          <w:bCs/>
        </w:rPr>
      </w:pPr>
      <w:r>
        <w:rPr>
          <w:rFonts w:cstheme="minorHAnsi"/>
          <w:b/>
          <w:bCs/>
        </w:rPr>
        <w:t xml:space="preserve">Although the </w:t>
      </w:r>
      <w:r w:rsidR="00482213">
        <w:rPr>
          <w:rFonts w:cstheme="minorHAnsi"/>
          <w:b/>
          <w:bCs/>
        </w:rPr>
        <w:t>Performance Credit Mechanism (</w:t>
      </w:r>
      <w:r w:rsidR="00EA306C">
        <w:rPr>
          <w:rFonts w:cstheme="minorHAnsi"/>
          <w:b/>
          <w:bCs/>
        </w:rPr>
        <w:t>PCM</w:t>
      </w:r>
      <w:r w:rsidR="00482213">
        <w:rPr>
          <w:rFonts w:cstheme="minorHAnsi"/>
          <w:b/>
          <w:bCs/>
        </w:rPr>
        <w:t>)</w:t>
      </w:r>
      <w:r w:rsidR="00EA306C">
        <w:rPr>
          <w:rFonts w:cstheme="minorHAnsi"/>
          <w:b/>
          <w:bCs/>
        </w:rPr>
        <w:t xml:space="preserve"> and </w:t>
      </w:r>
      <w:r w:rsidR="00482213">
        <w:rPr>
          <w:rFonts w:cstheme="minorHAnsi"/>
          <w:b/>
          <w:bCs/>
        </w:rPr>
        <w:t>Forward Reliability Market (</w:t>
      </w:r>
      <w:r w:rsidR="00EA306C">
        <w:rPr>
          <w:rFonts w:cstheme="minorHAnsi"/>
          <w:b/>
          <w:bCs/>
        </w:rPr>
        <w:t>FRM</w:t>
      </w:r>
      <w:r w:rsidR="00482213">
        <w:rPr>
          <w:rFonts w:cstheme="minorHAnsi"/>
          <w:b/>
          <w:bCs/>
        </w:rPr>
        <w:t>)</w:t>
      </w:r>
      <w:r w:rsidR="00EA306C">
        <w:rPr>
          <w:rFonts w:cstheme="minorHAnsi"/>
          <w:b/>
          <w:bCs/>
        </w:rPr>
        <w:t xml:space="preserve"> represent improvements over the original Phase 2 concepts, </w:t>
      </w:r>
      <w:r w:rsidR="000A625D" w:rsidRPr="00827BF2">
        <w:rPr>
          <w:rFonts w:cstheme="minorHAnsi"/>
          <w:b/>
          <w:bCs/>
        </w:rPr>
        <w:t xml:space="preserve">TPPF still </w:t>
      </w:r>
      <w:r w:rsidR="00F91650">
        <w:rPr>
          <w:rFonts w:cstheme="minorHAnsi"/>
          <w:b/>
          <w:bCs/>
        </w:rPr>
        <w:t>prefers</w:t>
      </w:r>
      <w:r w:rsidR="000A625D" w:rsidRPr="00827BF2">
        <w:rPr>
          <w:rFonts w:cstheme="minorHAnsi"/>
          <w:b/>
          <w:bCs/>
        </w:rPr>
        <w:t xml:space="preserve"> </w:t>
      </w:r>
      <w:r w:rsidR="007904E5" w:rsidRPr="00827BF2">
        <w:rPr>
          <w:rFonts w:cstheme="minorHAnsi"/>
          <w:b/>
          <w:bCs/>
        </w:rPr>
        <w:t xml:space="preserve">a targeted firming requirement for wind and solar </w:t>
      </w:r>
      <w:r w:rsidR="00283F81" w:rsidRPr="00827BF2">
        <w:rPr>
          <w:rFonts w:cstheme="minorHAnsi"/>
          <w:b/>
          <w:bCs/>
        </w:rPr>
        <w:t xml:space="preserve">as the most economically efficient option for addressing </w:t>
      </w:r>
      <w:r w:rsidR="00283F81" w:rsidRPr="00484AF2">
        <w:rPr>
          <w:rFonts w:cstheme="minorHAnsi"/>
          <w:b/>
          <w:bCs/>
          <w:i/>
          <w:iCs/>
        </w:rPr>
        <w:t>both</w:t>
      </w:r>
      <w:r w:rsidR="00283F81" w:rsidRPr="00827BF2">
        <w:rPr>
          <w:rFonts w:cstheme="minorHAnsi"/>
          <w:b/>
          <w:bCs/>
        </w:rPr>
        <w:t xml:space="preserve"> the overinvestment and underinvestment problems</w:t>
      </w:r>
      <w:r w:rsidR="00827BF2" w:rsidRPr="00827BF2">
        <w:rPr>
          <w:rFonts w:cstheme="minorHAnsi"/>
          <w:b/>
          <w:bCs/>
        </w:rPr>
        <w:t xml:space="preserve"> facing the ERCOT market.</w:t>
      </w:r>
    </w:p>
    <w:p w14:paraId="40C0C948" w14:textId="77777777" w:rsidR="0027679F" w:rsidRDefault="0027679F" w:rsidP="001B60F8">
      <w:pPr>
        <w:spacing w:after="0" w:line="240" w:lineRule="auto"/>
        <w:rPr>
          <w:rFonts w:cstheme="minorHAnsi"/>
        </w:rPr>
      </w:pPr>
    </w:p>
    <w:p w14:paraId="74AC9457" w14:textId="3978CB25" w:rsidR="00FD6CFE" w:rsidRDefault="004B14E4" w:rsidP="001B60F8">
      <w:pPr>
        <w:spacing w:after="0" w:line="240" w:lineRule="auto"/>
        <w:rPr>
          <w:rFonts w:cstheme="minorHAnsi"/>
        </w:rPr>
      </w:pPr>
      <w:r>
        <w:rPr>
          <w:rFonts w:cstheme="minorHAnsi"/>
        </w:rPr>
        <w:lastRenderedPageBreak/>
        <w:t xml:space="preserve">As indicated in </w:t>
      </w:r>
      <w:r w:rsidR="00BB1E66">
        <w:rPr>
          <w:rFonts w:cstheme="minorHAnsi"/>
        </w:rPr>
        <w:t>our previous work outlining our proposal for a firming requirement for wind and solar</w:t>
      </w:r>
      <w:r w:rsidR="00B27A47">
        <w:rPr>
          <w:rStyle w:val="FootnoteReference"/>
          <w:rFonts w:cstheme="minorHAnsi"/>
        </w:rPr>
        <w:footnoteReference w:id="6"/>
      </w:r>
      <w:r w:rsidR="00BB1E66">
        <w:rPr>
          <w:rFonts w:cstheme="minorHAnsi"/>
        </w:rPr>
        <w:t xml:space="preserve">, </w:t>
      </w:r>
      <w:r w:rsidR="00C34B1F">
        <w:rPr>
          <w:rFonts w:cstheme="minorHAnsi"/>
        </w:rPr>
        <w:t>a firming product that brought the low 5</w:t>
      </w:r>
      <w:r w:rsidR="00C34B1F" w:rsidRPr="00C34B1F">
        <w:rPr>
          <w:rFonts w:cstheme="minorHAnsi"/>
          <w:vertAlign w:val="superscript"/>
        </w:rPr>
        <w:t>th</w:t>
      </w:r>
      <w:r w:rsidR="00C34B1F">
        <w:rPr>
          <w:rFonts w:cstheme="minorHAnsi"/>
        </w:rPr>
        <w:t xml:space="preserve"> percentile of aggregate wind and solar output during peak hours</w:t>
      </w:r>
      <w:r w:rsidR="005017BA">
        <w:rPr>
          <w:rFonts w:cstheme="minorHAnsi"/>
        </w:rPr>
        <w:t xml:space="preserve"> up to the average </w:t>
      </w:r>
      <w:r w:rsidR="00484AF2">
        <w:rPr>
          <w:rFonts w:cstheme="minorHAnsi"/>
        </w:rPr>
        <w:t xml:space="preserve">aggregate </w:t>
      </w:r>
      <w:r w:rsidR="005017BA">
        <w:rPr>
          <w:rFonts w:cstheme="minorHAnsi"/>
        </w:rPr>
        <w:t>output would amount to about 1</w:t>
      </w:r>
      <w:r w:rsidR="00944BC3">
        <w:rPr>
          <w:rFonts w:cstheme="minorHAnsi"/>
        </w:rPr>
        <w:t>2</w:t>
      </w:r>
      <w:r w:rsidR="005017BA">
        <w:rPr>
          <w:rFonts w:cstheme="minorHAnsi"/>
        </w:rPr>
        <w:t xml:space="preserve">% of </w:t>
      </w:r>
      <w:r w:rsidR="00207571">
        <w:rPr>
          <w:rFonts w:cstheme="minorHAnsi"/>
        </w:rPr>
        <w:t xml:space="preserve">current </w:t>
      </w:r>
      <w:r w:rsidR="005017BA">
        <w:rPr>
          <w:rFonts w:cstheme="minorHAnsi"/>
        </w:rPr>
        <w:t>aggregate wind and solar installed capacity</w:t>
      </w:r>
      <w:r w:rsidR="00FA4513">
        <w:rPr>
          <w:rFonts w:cstheme="minorHAnsi"/>
        </w:rPr>
        <w:t>.</w:t>
      </w:r>
      <w:r w:rsidR="005017BA">
        <w:rPr>
          <w:rFonts w:cstheme="minorHAnsi"/>
        </w:rPr>
        <w:t xml:space="preserve"> A</w:t>
      </w:r>
      <w:r w:rsidR="00056142">
        <w:rPr>
          <w:rFonts w:cstheme="minorHAnsi"/>
        </w:rPr>
        <w:t xml:space="preserve">ssuming a lower firming requirement of </w:t>
      </w:r>
      <w:r w:rsidR="00F24BAC">
        <w:rPr>
          <w:rFonts w:cstheme="minorHAnsi"/>
        </w:rPr>
        <w:t>8</w:t>
      </w:r>
      <w:r w:rsidR="00056142">
        <w:rPr>
          <w:rFonts w:cstheme="minorHAnsi"/>
        </w:rPr>
        <w:t xml:space="preserve">% due to the more optimal 50/50 wind/solar mix in the E3 2026 </w:t>
      </w:r>
      <w:r w:rsidR="00F24BAC">
        <w:rPr>
          <w:rFonts w:cstheme="minorHAnsi"/>
        </w:rPr>
        <w:t>scenario</w:t>
      </w:r>
      <w:r w:rsidR="00056142">
        <w:rPr>
          <w:rFonts w:cstheme="minorHAnsi"/>
        </w:rPr>
        <w:t>, compared to the current wind-heavy mix, and</w:t>
      </w:r>
      <w:r w:rsidR="00F24BAC">
        <w:rPr>
          <w:rFonts w:cstheme="minorHAnsi"/>
        </w:rPr>
        <w:t xml:space="preserve"> a</w:t>
      </w:r>
      <w:r w:rsidR="005017BA">
        <w:rPr>
          <w:rFonts w:cstheme="minorHAnsi"/>
        </w:rPr>
        <w:t>pplying that</w:t>
      </w:r>
      <w:r w:rsidR="00735C87">
        <w:rPr>
          <w:rFonts w:cstheme="minorHAnsi"/>
        </w:rPr>
        <w:t xml:space="preserve"> number to the </w:t>
      </w:r>
      <w:r w:rsidR="00F24BAC">
        <w:rPr>
          <w:rFonts w:cstheme="minorHAnsi"/>
        </w:rPr>
        <w:t>8</w:t>
      </w:r>
      <w:r w:rsidR="00024B67">
        <w:rPr>
          <w:rFonts w:cstheme="minorHAnsi"/>
        </w:rPr>
        <w:t xml:space="preserve">0 GW of wind and solar capacity </w:t>
      </w:r>
      <w:r w:rsidR="00944BC3">
        <w:rPr>
          <w:rFonts w:cstheme="minorHAnsi"/>
        </w:rPr>
        <w:t xml:space="preserve">in </w:t>
      </w:r>
      <w:r w:rsidR="00F24BAC">
        <w:rPr>
          <w:rFonts w:cstheme="minorHAnsi"/>
        </w:rPr>
        <w:t>the E3 2026 scenario</w:t>
      </w:r>
      <w:r w:rsidR="008B3209">
        <w:rPr>
          <w:rFonts w:cstheme="minorHAnsi"/>
        </w:rPr>
        <w:t xml:space="preserve">, would result in a firming requirement of </w:t>
      </w:r>
      <w:r w:rsidR="00E7753F">
        <w:rPr>
          <w:rFonts w:cstheme="minorHAnsi"/>
        </w:rPr>
        <w:t xml:space="preserve">6.4 GW. </w:t>
      </w:r>
      <w:r w:rsidR="00256CD0">
        <w:t>T</w:t>
      </w:r>
      <w:r w:rsidR="00FD6CFE" w:rsidRPr="002E2D27">
        <w:t xml:space="preserve">he cost of new entry for a gas combustion turbine </w:t>
      </w:r>
      <w:r w:rsidR="00256CD0">
        <w:t>is at least</w:t>
      </w:r>
      <w:r w:rsidR="00FD6CFE" w:rsidRPr="002E2D27">
        <w:t xml:space="preserve"> ~$95/KW-year</w:t>
      </w:r>
      <w:r w:rsidR="00FA4513">
        <w:t>,</w:t>
      </w:r>
      <w:r w:rsidR="00FD6CFE">
        <w:rPr>
          <w:rStyle w:val="FootnoteReference"/>
        </w:rPr>
        <w:footnoteReference w:id="7"/>
      </w:r>
      <w:r w:rsidR="00FD6CFE" w:rsidRPr="002E2D27">
        <w:t xml:space="preserve"> which </w:t>
      </w:r>
      <w:r w:rsidR="00963620">
        <w:t xml:space="preserve">would </w:t>
      </w:r>
      <w:r w:rsidR="00FD6CFE" w:rsidRPr="002E2D27">
        <w:t xml:space="preserve">result in an annual cost of the </w:t>
      </w:r>
      <w:r w:rsidR="00963620">
        <w:t>requirement</w:t>
      </w:r>
      <w:r w:rsidR="00FD6CFE" w:rsidRPr="002E2D27">
        <w:t xml:space="preserve"> of approximately $</w:t>
      </w:r>
      <w:r w:rsidR="00256CD0">
        <w:t>60</w:t>
      </w:r>
      <w:r w:rsidR="00FD6CFE" w:rsidRPr="002E2D27">
        <w:t>0 million.</w:t>
      </w:r>
      <w:r w:rsidR="00F6616D">
        <w:t xml:space="preserve"> However, that cost could be less if much of the requirement is met by existing dispatchable generation.</w:t>
      </w:r>
    </w:p>
    <w:p w14:paraId="4281A6F3" w14:textId="77777777" w:rsidR="00FD6CFE" w:rsidRDefault="00FD6CFE" w:rsidP="001B60F8">
      <w:pPr>
        <w:spacing w:after="0" w:line="240" w:lineRule="auto"/>
        <w:rPr>
          <w:rFonts w:cstheme="minorHAnsi"/>
        </w:rPr>
      </w:pPr>
    </w:p>
    <w:p w14:paraId="2D269AB4" w14:textId="77844B64" w:rsidR="00A46D48" w:rsidRDefault="00FD6CFE" w:rsidP="001B60F8">
      <w:pPr>
        <w:spacing w:after="0" w:line="240" w:lineRule="auto"/>
        <w:rPr>
          <w:rFonts w:cstheme="minorHAnsi"/>
        </w:rPr>
      </w:pPr>
      <w:r>
        <w:rPr>
          <w:rFonts w:cstheme="minorHAnsi"/>
        </w:rPr>
        <w:t xml:space="preserve">It is no surprise that the </w:t>
      </w:r>
      <w:r w:rsidR="00A97F0C">
        <w:rPr>
          <w:rFonts w:cstheme="minorHAnsi"/>
        </w:rPr>
        <w:t xml:space="preserve">capacity gap in the </w:t>
      </w:r>
      <w:r w:rsidR="00CA6F84">
        <w:rPr>
          <w:rFonts w:cstheme="minorHAnsi"/>
        </w:rPr>
        <w:t>energy</w:t>
      </w:r>
      <w:r w:rsidR="001308E8">
        <w:rPr>
          <w:rFonts w:cstheme="minorHAnsi"/>
        </w:rPr>
        <w:t>-</w:t>
      </w:r>
      <w:r w:rsidR="00CA6F84">
        <w:rPr>
          <w:rFonts w:cstheme="minorHAnsi"/>
        </w:rPr>
        <w:t xml:space="preserve">only scenario in the </w:t>
      </w:r>
      <w:r w:rsidR="00A97F0C">
        <w:rPr>
          <w:rFonts w:cstheme="minorHAnsi"/>
        </w:rPr>
        <w:t>E3 report</w:t>
      </w:r>
      <w:r w:rsidR="00CA6F84">
        <w:rPr>
          <w:rFonts w:cstheme="minorHAnsi"/>
        </w:rPr>
        <w:t xml:space="preserve">, about 5.6 GW, is </w:t>
      </w:r>
      <w:r w:rsidR="00B85EC4">
        <w:rPr>
          <w:rFonts w:cstheme="minorHAnsi"/>
        </w:rPr>
        <w:t xml:space="preserve">similar to </w:t>
      </w:r>
      <w:r w:rsidR="00CA6F84">
        <w:rPr>
          <w:rFonts w:cstheme="minorHAnsi"/>
        </w:rPr>
        <w:t xml:space="preserve">the difference </w:t>
      </w:r>
      <w:r w:rsidR="00B85EC4">
        <w:rPr>
          <w:rFonts w:cstheme="minorHAnsi"/>
        </w:rPr>
        <w:t>in the low 5</w:t>
      </w:r>
      <w:r w:rsidR="00B85EC4" w:rsidRPr="00B85EC4">
        <w:rPr>
          <w:rFonts w:cstheme="minorHAnsi"/>
          <w:vertAlign w:val="superscript"/>
        </w:rPr>
        <w:t>th</w:t>
      </w:r>
      <w:r w:rsidR="00B85EC4">
        <w:rPr>
          <w:rFonts w:cstheme="minorHAnsi"/>
        </w:rPr>
        <w:t xml:space="preserve"> percentile output of the wind and solar fleet during peak hours vs. the average output of th</w:t>
      </w:r>
      <w:r w:rsidR="00105AE2">
        <w:rPr>
          <w:rFonts w:cstheme="minorHAnsi"/>
        </w:rPr>
        <w:t>at</w:t>
      </w:r>
      <w:r w:rsidR="00B85EC4">
        <w:rPr>
          <w:rFonts w:cstheme="minorHAnsi"/>
        </w:rPr>
        <w:t xml:space="preserve"> fleet</w:t>
      </w:r>
      <w:r w:rsidR="00CA6F84">
        <w:rPr>
          <w:rFonts w:cstheme="minorHAnsi"/>
        </w:rPr>
        <w:t xml:space="preserve">. </w:t>
      </w:r>
      <w:r w:rsidR="00105AE2">
        <w:rPr>
          <w:rFonts w:cstheme="minorHAnsi"/>
        </w:rPr>
        <w:t>T</w:t>
      </w:r>
      <w:r w:rsidR="00CA6F84">
        <w:rPr>
          <w:rFonts w:cstheme="minorHAnsi"/>
        </w:rPr>
        <w:t xml:space="preserve">he ERCOT market is optimizing toward the </w:t>
      </w:r>
      <w:r w:rsidR="00CA6F84">
        <w:rPr>
          <w:rFonts w:cstheme="minorHAnsi"/>
          <w:i/>
          <w:iCs/>
        </w:rPr>
        <w:t>expected</w:t>
      </w:r>
      <w:r w:rsidR="00CA6F84">
        <w:rPr>
          <w:rFonts w:cstheme="minorHAnsi"/>
        </w:rPr>
        <w:t xml:space="preserve"> output of wind and solar during peak hours and not the </w:t>
      </w:r>
      <w:r w:rsidR="005427C5">
        <w:rPr>
          <w:rFonts w:cstheme="minorHAnsi"/>
        </w:rPr>
        <w:t xml:space="preserve">properly accounting for the increased variability of that output relative to dispatchable thermal generation. </w:t>
      </w:r>
      <w:r w:rsidR="006C4821">
        <w:rPr>
          <w:rFonts w:cstheme="minorHAnsi"/>
        </w:rPr>
        <w:t xml:space="preserve">This </w:t>
      </w:r>
      <w:r w:rsidR="00E32BB5">
        <w:rPr>
          <w:rFonts w:cstheme="minorHAnsi"/>
        </w:rPr>
        <w:t>clearly demonstrates that</w:t>
      </w:r>
      <w:r w:rsidR="006C4821">
        <w:rPr>
          <w:rFonts w:cstheme="minorHAnsi"/>
        </w:rPr>
        <w:t xml:space="preserve"> the energy</w:t>
      </w:r>
      <w:r w:rsidR="00105AE2">
        <w:rPr>
          <w:rFonts w:cstheme="minorHAnsi"/>
        </w:rPr>
        <w:t>-</w:t>
      </w:r>
      <w:r w:rsidR="006C4821">
        <w:rPr>
          <w:rFonts w:cstheme="minorHAnsi"/>
        </w:rPr>
        <w:t>only</w:t>
      </w:r>
      <w:r w:rsidR="00E32BB5">
        <w:rPr>
          <w:rFonts w:cstheme="minorHAnsi"/>
        </w:rPr>
        <w:t xml:space="preserve"> market is not functioning properly under the influence of price</w:t>
      </w:r>
      <w:r w:rsidR="00FA4513">
        <w:rPr>
          <w:rFonts w:cstheme="minorHAnsi"/>
        </w:rPr>
        <w:t>-</w:t>
      </w:r>
      <w:r w:rsidR="00E32BB5">
        <w:rPr>
          <w:rFonts w:cstheme="minorHAnsi"/>
        </w:rPr>
        <w:t xml:space="preserve">distorting federal subsidies and the </w:t>
      </w:r>
      <w:r w:rsidR="00494FB6">
        <w:rPr>
          <w:rFonts w:cstheme="minorHAnsi"/>
        </w:rPr>
        <w:t>absence of a reliability requirement for wind and solar generators.</w:t>
      </w:r>
      <w:r w:rsidR="00E32BB5">
        <w:rPr>
          <w:rFonts w:cstheme="minorHAnsi"/>
        </w:rPr>
        <w:t xml:space="preserve"> There</w:t>
      </w:r>
      <w:r w:rsidR="00494FB6">
        <w:rPr>
          <w:rFonts w:cstheme="minorHAnsi"/>
        </w:rPr>
        <w:t>fore,</w:t>
      </w:r>
      <w:r w:rsidR="00E32BB5">
        <w:rPr>
          <w:rFonts w:cstheme="minorHAnsi"/>
        </w:rPr>
        <w:t xml:space="preserve"> some capacity mechanism, properly targeted and limited in scope, is needed to counteract the distortions caused by the federal subsidies</w:t>
      </w:r>
      <w:r w:rsidR="00494FB6">
        <w:rPr>
          <w:rFonts w:cstheme="minorHAnsi"/>
        </w:rPr>
        <w:t xml:space="preserve"> and ensure a reliable market.</w:t>
      </w:r>
    </w:p>
    <w:p w14:paraId="6A2CB7F3" w14:textId="77777777" w:rsidR="004B7E78" w:rsidRDefault="004B7E78" w:rsidP="001B60F8">
      <w:pPr>
        <w:spacing w:after="0" w:line="240" w:lineRule="auto"/>
        <w:rPr>
          <w:rFonts w:cstheme="minorHAnsi"/>
        </w:rPr>
      </w:pPr>
    </w:p>
    <w:p w14:paraId="3AAC555D" w14:textId="5E2139FF" w:rsidR="004B7E78" w:rsidRPr="00317E66" w:rsidRDefault="00E62156" w:rsidP="001B60F8">
      <w:pPr>
        <w:spacing w:after="0" w:line="240" w:lineRule="auto"/>
        <w:rPr>
          <w:rFonts w:cstheme="minorHAnsi"/>
          <w:b/>
          <w:bCs/>
        </w:rPr>
      </w:pPr>
      <w:r w:rsidRPr="00E62156">
        <w:rPr>
          <w:rFonts w:cstheme="minorHAnsi"/>
          <w:b/>
          <w:bCs/>
        </w:rPr>
        <w:t xml:space="preserve">The concepts contemplated in the E3 report could all </w:t>
      </w:r>
      <w:r w:rsidR="00317E66" w:rsidRPr="00317E66">
        <w:rPr>
          <w:rFonts w:cstheme="minorHAnsi"/>
          <w:b/>
          <w:bCs/>
        </w:rPr>
        <w:t>be improved significantly by limiting eligibility to long-duration dispatchable resources</w:t>
      </w:r>
      <w:r w:rsidR="00317E66">
        <w:rPr>
          <w:rFonts w:cstheme="minorHAnsi"/>
          <w:b/>
          <w:bCs/>
        </w:rPr>
        <w:t xml:space="preserve">, </w:t>
      </w:r>
      <w:r w:rsidR="00317E66" w:rsidRPr="00317E66">
        <w:rPr>
          <w:rFonts w:cstheme="minorHAnsi"/>
          <w:b/>
          <w:bCs/>
        </w:rPr>
        <w:t xml:space="preserve">targeting the services </w:t>
      </w:r>
      <w:r w:rsidR="00317E66">
        <w:rPr>
          <w:rFonts w:cstheme="minorHAnsi"/>
          <w:b/>
          <w:bCs/>
        </w:rPr>
        <w:t>to</w:t>
      </w:r>
      <w:r w:rsidR="00317E66" w:rsidRPr="00317E66">
        <w:rPr>
          <w:rFonts w:cstheme="minorHAnsi"/>
          <w:b/>
          <w:bCs/>
        </w:rPr>
        <w:t xml:space="preserve"> performance during the times of highest net load, </w:t>
      </w:r>
      <w:r w:rsidR="007E4CB9">
        <w:rPr>
          <w:rFonts w:cstheme="minorHAnsi"/>
          <w:b/>
          <w:bCs/>
        </w:rPr>
        <w:t xml:space="preserve">reducing the need for </w:t>
      </w:r>
      <w:r w:rsidR="00DF4FFF">
        <w:rPr>
          <w:rFonts w:cstheme="minorHAnsi"/>
          <w:b/>
          <w:bCs/>
        </w:rPr>
        <w:t xml:space="preserve">poorly targeted scarcity pricing, </w:t>
      </w:r>
      <w:r w:rsidR="00317E66" w:rsidRPr="00317E66">
        <w:rPr>
          <w:rFonts w:cstheme="minorHAnsi"/>
          <w:b/>
          <w:bCs/>
        </w:rPr>
        <w:t xml:space="preserve">and allocating costs in a holistic manner among intermittent generators, </w:t>
      </w:r>
      <w:r w:rsidR="00AA61CE">
        <w:rPr>
          <w:rFonts w:cstheme="minorHAnsi"/>
          <w:b/>
          <w:bCs/>
        </w:rPr>
        <w:t xml:space="preserve">non-performing </w:t>
      </w:r>
      <w:r w:rsidR="00317E66" w:rsidRPr="00317E66">
        <w:rPr>
          <w:rFonts w:cstheme="minorHAnsi"/>
          <w:b/>
          <w:bCs/>
        </w:rPr>
        <w:t>dispatchable generators, and load</w:t>
      </w:r>
      <w:r w:rsidR="005D0348">
        <w:rPr>
          <w:rFonts w:cstheme="minorHAnsi"/>
          <w:b/>
          <w:bCs/>
        </w:rPr>
        <w:t>s</w:t>
      </w:r>
      <w:r w:rsidR="00317E66" w:rsidRPr="00317E66">
        <w:rPr>
          <w:rFonts w:cstheme="minorHAnsi"/>
          <w:b/>
          <w:bCs/>
        </w:rPr>
        <w:t>, in proportion to their contribution to system variability during times of highest net load.</w:t>
      </w:r>
    </w:p>
    <w:p w14:paraId="48234E47" w14:textId="77777777" w:rsidR="0027679F" w:rsidRDefault="0027679F" w:rsidP="001B60F8">
      <w:pPr>
        <w:spacing w:after="0" w:line="240" w:lineRule="auto"/>
        <w:rPr>
          <w:rFonts w:cstheme="minorHAnsi"/>
        </w:rPr>
      </w:pPr>
    </w:p>
    <w:p w14:paraId="5B990A1A" w14:textId="61C5FD89" w:rsidR="00BB0E01" w:rsidRDefault="00B12487" w:rsidP="001B60F8">
      <w:pPr>
        <w:spacing w:after="0" w:line="240" w:lineRule="auto"/>
        <w:rPr>
          <w:rFonts w:cstheme="minorHAnsi"/>
        </w:rPr>
      </w:pPr>
      <w:r>
        <w:rPr>
          <w:rFonts w:cstheme="minorHAnsi"/>
        </w:rPr>
        <w:t>Our comments on the market redesign proposal from the South Texas Electric Cooperative in March 2022</w:t>
      </w:r>
      <w:r w:rsidR="00825451">
        <w:rPr>
          <w:rStyle w:val="FootnoteReference"/>
          <w:rFonts w:cstheme="minorHAnsi"/>
        </w:rPr>
        <w:footnoteReference w:id="8"/>
      </w:r>
      <w:r>
        <w:rPr>
          <w:rFonts w:cstheme="minorHAnsi"/>
        </w:rPr>
        <w:t xml:space="preserve"> </w:t>
      </w:r>
      <w:r w:rsidR="00741A4E">
        <w:rPr>
          <w:rFonts w:cstheme="minorHAnsi"/>
        </w:rPr>
        <w:t xml:space="preserve">provide greater detail </w:t>
      </w:r>
      <w:r w:rsidR="00120007">
        <w:rPr>
          <w:rFonts w:cstheme="minorHAnsi"/>
        </w:rPr>
        <w:t>on our opinions as to how to design these types of capacity mechanisms</w:t>
      </w:r>
      <w:r w:rsidR="00741A4E">
        <w:rPr>
          <w:rFonts w:cstheme="minorHAnsi"/>
        </w:rPr>
        <w:t xml:space="preserve">. </w:t>
      </w:r>
      <w:r w:rsidR="007E0427">
        <w:rPr>
          <w:rFonts w:cstheme="minorHAnsi"/>
        </w:rPr>
        <w:t>In short, while</w:t>
      </w:r>
      <w:r w:rsidR="00741A4E">
        <w:rPr>
          <w:rFonts w:cstheme="minorHAnsi"/>
        </w:rPr>
        <w:t xml:space="preserve"> we have concerns about properly sizing such a service and ensuring the continued vitality of the energy</w:t>
      </w:r>
      <w:r w:rsidR="00126F48">
        <w:rPr>
          <w:rFonts w:cstheme="minorHAnsi"/>
        </w:rPr>
        <w:t>-</w:t>
      </w:r>
      <w:r w:rsidR="00741A4E">
        <w:rPr>
          <w:rFonts w:cstheme="minorHAnsi"/>
        </w:rPr>
        <w:t>only market in an environment with a strong capacity mechanism,</w:t>
      </w:r>
      <w:r w:rsidR="007E0427">
        <w:rPr>
          <w:rFonts w:cstheme="minorHAnsi"/>
        </w:rPr>
        <w:t xml:space="preserve"> we cannot ignore the fact that</w:t>
      </w:r>
      <w:r w:rsidR="00A6035B">
        <w:rPr>
          <w:rFonts w:cstheme="minorHAnsi"/>
        </w:rPr>
        <w:t xml:space="preserve"> the price distortions and volatility caused by </w:t>
      </w:r>
      <w:r w:rsidR="00FE36FC">
        <w:rPr>
          <w:rFonts w:cstheme="minorHAnsi"/>
        </w:rPr>
        <w:t xml:space="preserve">the federal incentives for wind and solar and the </w:t>
      </w:r>
      <w:r w:rsidR="00A6035B">
        <w:rPr>
          <w:rFonts w:cstheme="minorHAnsi"/>
        </w:rPr>
        <w:t xml:space="preserve">overbuilding those resources </w:t>
      </w:r>
      <w:r w:rsidR="009E0736">
        <w:rPr>
          <w:rFonts w:cstheme="minorHAnsi"/>
        </w:rPr>
        <w:t>ha</w:t>
      </w:r>
      <w:r w:rsidR="00126F48">
        <w:rPr>
          <w:rFonts w:cstheme="minorHAnsi"/>
        </w:rPr>
        <w:t>ve</w:t>
      </w:r>
      <w:r w:rsidR="009E0736">
        <w:rPr>
          <w:rFonts w:cstheme="minorHAnsi"/>
        </w:rPr>
        <w:t xml:space="preserve"> created a reliability deficit</w:t>
      </w:r>
      <w:r w:rsidR="00A6035B">
        <w:rPr>
          <w:rFonts w:cstheme="minorHAnsi"/>
        </w:rPr>
        <w:t xml:space="preserve"> in the ERCOT market.</w:t>
      </w:r>
    </w:p>
    <w:p w14:paraId="4DBDF4E7" w14:textId="77777777" w:rsidR="00BB0E01" w:rsidRDefault="00BB0E01" w:rsidP="001B60F8">
      <w:pPr>
        <w:spacing w:after="0" w:line="240" w:lineRule="auto"/>
        <w:rPr>
          <w:rFonts w:cstheme="minorHAnsi"/>
        </w:rPr>
      </w:pPr>
    </w:p>
    <w:p w14:paraId="45A8F251" w14:textId="5677DDD4" w:rsidR="0084198B" w:rsidRDefault="002032CB" w:rsidP="001B60F8">
      <w:pPr>
        <w:spacing w:after="0" w:line="240" w:lineRule="auto"/>
        <w:rPr>
          <w:rFonts w:cstheme="minorHAnsi"/>
        </w:rPr>
      </w:pPr>
      <w:r>
        <w:rPr>
          <w:rFonts w:cstheme="minorHAnsi"/>
        </w:rPr>
        <w:t>Th</w:t>
      </w:r>
      <w:r w:rsidR="00432FCA">
        <w:rPr>
          <w:rFonts w:cstheme="minorHAnsi"/>
        </w:rPr>
        <w:t>ese incentives</w:t>
      </w:r>
      <w:r>
        <w:rPr>
          <w:rFonts w:cstheme="minorHAnsi"/>
        </w:rPr>
        <w:t xml:space="preserve"> </w:t>
      </w:r>
      <w:r w:rsidR="00432FCA">
        <w:rPr>
          <w:rFonts w:cstheme="minorHAnsi"/>
        </w:rPr>
        <w:t xml:space="preserve">will continue </w:t>
      </w:r>
      <w:r w:rsidR="00685DA5">
        <w:rPr>
          <w:rFonts w:cstheme="minorHAnsi"/>
        </w:rPr>
        <w:t>affecting</w:t>
      </w:r>
      <w:r w:rsidR="00432FCA">
        <w:rPr>
          <w:rFonts w:cstheme="minorHAnsi"/>
        </w:rPr>
        <w:t xml:space="preserve"> the market for at least another couple of decades, which </w:t>
      </w:r>
      <w:r>
        <w:rPr>
          <w:rFonts w:cstheme="minorHAnsi"/>
        </w:rPr>
        <w:t xml:space="preserve">necessitates a </w:t>
      </w:r>
      <w:r w:rsidR="00432FCA">
        <w:rPr>
          <w:rFonts w:cstheme="minorHAnsi"/>
        </w:rPr>
        <w:t xml:space="preserve">counterbalancing </w:t>
      </w:r>
      <w:r>
        <w:rPr>
          <w:rFonts w:cstheme="minorHAnsi"/>
        </w:rPr>
        <w:t xml:space="preserve">capacity </w:t>
      </w:r>
      <w:r w:rsidR="00432FCA">
        <w:rPr>
          <w:rFonts w:cstheme="minorHAnsi"/>
        </w:rPr>
        <w:t>mechanism</w:t>
      </w:r>
      <w:r>
        <w:rPr>
          <w:rFonts w:cstheme="minorHAnsi"/>
        </w:rPr>
        <w:t xml:space="preserve"> to reduce volatility</w:t>
      </w:r>
      <w:r w:rsidR="00432FCA">
        <w:rPr>
          <w:rFonts w:cstheme="minorHAnsi"/>
        </w:rPr>
        <w:t xml:space="preserve"> and</w:t>
      </w:r>
      <w:r>
        <w:rPr>
          <w:rFonts w:cstheme="minorHAnsi"/>
        </w:rPr>
        <w:t xml:space="preserve"> investment risk and ultimately</w:t>
      </w:r>
      <w:r w:rsidR="00432FCA">
        <w:rPr>
          <w:rFonts w:cstheme="minorHAnsi"/>
        </w:rPr>
        <w:t xml:space="preserve"> ensure that ERCOT has enough dispatchable capacity </w:t>
      </w:r>
      <w:r w:rsidR="0003323B">
        <w:rPr>
          <w:rFonts w:cstheme="minorHAnsi"/>
        </w:rPr>
        <w:t>to prevent significant loss of load events.</w:t>
      </w:r>
      <w:r w:rsidR="0043446C">
        <w:rPr>
          <w:rFonts w:cstheme="minorHAnsi"/>
        </w:rPr>
        <w:t xml:space="preserve"> Given th</w:t>
      </w:r>
      <w:r w:rsidR="008A0721">
        <w:rPr>
          <w:rFonts w:cstheme="minorHAnsi"/>
        </w:rPr>
        <w:t>is ongoing need</w:t>
      </w:r>
      <w:r w:rsidR="00AA61CE">
        <w:rPr>
          <w:rFonts w:cstheme="minorHAnsi"/>
        </w:rPr>
        <w:t xml:space="preserve"> and absent a targeted reliability requirement for wind and solar that preserves more of the energy</w:t>
      </w:r>
      <w:r w:rsidR="00126F48">
        <w:rPr>
          <w:rFonts w:cstheme="minorHAnsi"/>
        </w:rPr>
        <w:t>-</w:t>
      </w:r>
      <w:r w:rsidR="00AA61CE">
        <w:rPr>
          <w:rFonts w:cstheme="minorHAnsi"/>
        </w:rPr>
        <w:t>only market</w:t>
      </w:r>
      <w:r w:rsidR="008A0721">
        <w:rPr>
          <w:rFonts w:cstheme="minorHAnsi"/>
        </w:rPr>
        <w:t xml:space="preserve">, </w:t>
      </w:r>
      <w:r w:rsidR="00AA61CE">
        <w:rPr>
          <w:rFonts w:cstheme="minorHAnsi"/>
        </w:rPr>
        <w:t xml:space="preserve">a broader capacity </w:t>
      </w:r>
      <w:r w:rsidR="008A0721">
        <w:rPr>
          <w:rFonts w:cstheme="minorHAnsi"/>
        </w:rPr>
        <w:t xml:space="preserve">mechanism </w:t>
      </w:r>
      <w:r w:rsidR="00685DA5">
        <w:rPr>
          <w:rFonts w:cstheme="minorHAnsi"/>
        </w:rPr>
        <w:t xml:space="preserve">like </w:t>
      </w:r>
      <w:r w:rsidR="00880412">
        <w:rPr>
          <w:rFonts w:cstheme="minorHAnsi"/>
        </w:rPr>
        <w:t xml:space="preserve">the PCM </w:t>
      </w:r>
      <w:r w:rsidR="00103409">
        <w:rPr>
          <w:rFonts w:cstheme="minorHAnsi"/>
        </w:rPr>
        <w:t xml:space="preserve">can address </w:t>
      </w:r>
      <w:r w:rsidR="00880412">
        <w:rPr>
          <w:rFonts w:cstheme="minorHAnsi"/>
        </w:rPr>
        <w:t xml:space="preserve">this problem if it </w:t>
      </w:r>
      <w:r w:rsidR="00E86EE8">
        <w:rPr>
          <w:rFonts w:cstheme="minorHAnsi"/>
        </w:rPr>
        <w:t xml:space="preserve">contains </w:t>
      </w:r>
      <w:r w:rsidR="009F3C84">
        <w:rPr>
          <w:rFonts w:cstheme="minorHAnsi"/>
        </w:rPr>
        <w:t>four</w:t>
      </w:r>
      <w:r w:rsidR="00AA61CE">
        <w:rPr>
          <w:rFonts w:cstheme="minorHAnsi"/>
        </w:rPr>
        <w:t xml:space="preserve"> main characteristics. First, it must </w:t>
      </w:r>
      <w:r w:rsidR="008A0721">
        <w:rPr>
          <w:rFonts w:cstheme="minorHAnsi"/>
        </w:rPr>
        <w:t>be targeted toward reducing vol</w:t>
      </w:r>
      <w:r w:rsidR="00BB0E01">
        <w:rPr>
          <w:rFonts w:cstheme="minorHAnsi"/>
        </w:rPr>
        <w:t xml:space="preserve">atility </w:t>
      </w:r>
      <w:r w:rsidR="00BB0E01">
        <w:rPr>
          <w:rFonts w:cstheme="minorHAnsi"/>
        </w:rPr>
        <w:lastRenderedPageBreak/>
        <w:t xml:space="preserve">during times of highest net load, </w:t>
      </w:r>
      <w:r w:rsidR="00AA61CE">
        <w:rPr>
          <w:rFonts w:cstheme="minorHAnsi"/>
        </w:rPr>
        <w:t xml:space="preserve">Second, it </w:t>
      </w:r>
      <w:r w:rsidR="00BB0E01">
        <w:rPr>
          <w:rFonts w:cstheme="minorHAnsi"/>
        </w:rPr>
        <w:t xml:space="preserve">should </w:t>
      </w:r>
      <w:r w:rsidR="00AA61CE">
        <w:rPr>
          <w:rFonts w:cstheme="minorHAnsi"/>
        </w:rPr>
        <w:t>reward only</w:t>
      </w:r>
      <w:r w:rsidR="00BB0E01">
        <w:rPr>
          <w:rFonts w:cstheme="minorHAnsi"/>
        </w:rPr>
        <w:t xml:space="preserve"> long-duration </w:t>
      </w:r>
      <w:r w:rsidR="00AA61CE">
        <w:rPr>
          <w:rFonts w:cstheme="minorHAnsi"/>
        </w:rPr>
        <w:t xml:space="preserve">dispatchable </w:t>
      </w:r>
      <w:r w:rsidR="00BB0E01">
        <w:rPr>
          <w:rFonts w:cstheme="minorHAnsi"/>
        </w:rPr>
        <w:t>resources</w:t>
      </w:r>
      <w:r w:rsidR="00AA61CE">
        <w:rPr>
          <w:rFonts w:cstheme="minorHAnsi"/>
        </w:rPr>
        <w:t xml:space="preserve"> (generation or load) that reduce the risk of long-duration loss of load events. </w:t>
      </w:r>
      <w:r w:rsidR="009F3C84">
        <w:rPr>
          <w:rFonts w:cstheme="minorHAnsi"/>
        </w:rPr>
        <w:t>Third, it should reduce the need for the</w:t>
      </w:r>
      <w:r w:rsidR="002519BE">
        <w:rPr>
          <w:rFonts w:cstheme="minorHAnsi"/>
        </w:rPr>
        <w:t xml:space="preserve"> </w:t>
      </w:r>
      <w:r w:rsidR="00F4470C">
        <w:rPr>
          <w:rFonts w:cstheme="minorHAnsi"/>
        </w:rPr>
        <w:t>Operating Reserve Demand Curve (ORDC),</w:t>
      </w:r>
      <w:r w:rsidR="002519BE">
        <w:rPr>
          <w:rFonts w:cstheme="minorHAnsi"/>
        </w:rPr>
        <w:t xml:space="preserve"> which </w:t>
      </w:r>
      <w:r w:rsidR="0080455B">
        <w:rPr>
          <w:rFonts w:cstheme="minorHAnsi"/>
        </w:rPr>
        <w:t xml:space="preserve">rewards generators </w:t>
      </w:r>
      <w:r w:rsidR="00134FA0">
        <w:rPr>
          <w:rFonts w:cstheme="minorHAnsi"/>
        </w:rPr>
        <w:t xml:space="preserve">that show up during scarcity periods </w:t>
      </w:r>
      <w:r w:rsidR="00854434">
        <w:rPr>
          <w:rFonts w:cstheme="minorHAnsi"/>
        </w:rPr>
        <w:t>regardless of whether they are</w:t>
      </w:r>
      <w:r w:rsidR="009B1219">
        <w:rPr>
          <w:rFonts w:cstheme="minorHAnsi"/>
        </w:rPr>
        <w:t xml:space="preserve"> committing to run</w:t>
      </w:r>
      <w:r w:rsidR="0012358D">
        <w:rPr>
          <w:rFonts w:cstheme="minorHAnsi"/>
        </w:rPr>
        <w:t xml:space="preserve"> during th</w:t>
      </w:r>
      <w:r w:rsidR="00752B9F">
        <w:rPr>
          <w:rFonts w:cstheme="minorHAnsi"/>
        </w:rPr>
        <w:t>ose</w:t>
      </w:r>
      <w:r w:rsidR="0012358D">
        <w:rPr>
          <w:rFonts w:cstheme="minorHAnsi"/>
        </w:rPr>
        <w:t xml:space="preserve"> period</w:t>
      </w:r>
      <w:r w:rsidR="00752B9F">
        <w:rPr>
          <w:rFonts w:cstheme="minorHAnsi"/>
        </w:rPr>
        <w:t>s</w:t>
      </w:r>
      <w:r w:rsidR="0012358D">
        <w:rPr>
          <w:rFonts w:cstheme="minorHAnsi"/>
        </w:rPr>
        <w:t xml:space="preserve"> ahead of time</w:t>
      </w:r>
      <w:r w:rsidR="009B1219">
        <w:rPr>
          <w:rFonts w:cstheme="minorHAnsi"/>
        </w:rPr>
        <w:t xml:space="preserve"> or showing up by chance.</w:t>
      </w:r>
      <w:r w:rsidR="00854434">
        <w:rPr>
          <w:rFonts w:cstheme="minorHAnsi"/>
        </w:rPr>
        <w:t xml:space="preserve"> </w:t>
      </w:r>
      <w:r w:rsidR="00143D20">
        <w:rPr>
          <w:rFonts w:cstheme="minorHAnsi"/>
        </w:rPr>
        <w:t xml:space="preserve">Paying for performance is </w:t>
      </w:r>
      <w:r w:rsidR="00752B9F">
        <w:rPr>
          <w:rFonts w:cstheme="minorHAnsi"/>
        </w:rPr>
        <w:t>important but</w:t>
      </w:r>
      <w:r w:rsidR="00143D20">
        <w:rPr>
          <w:rFonts w:cstheme="minorHAnsi"/>
        </w:rPr>
        <w:t xml:space="preserve"> ensuring long-term resource adequacy and reducing market volatility is also important.</w:t>
      </w:r>
      <w:r w:rsidR="00854434">
        <w:rPr>
          <w:rFonts w:cstheme="minorHAnsi"/>
        </w:rPr>
        <w:t xml:space="preserve"> </w:t>
      </w:r>
      <w:r w:rsidR="00AA61CE">
        <w:rPr>
          <w:rFonts w:cstheme="minorHAnsi"/>
        </w:rPr>
        <w:t xml:space="preserve">Finally, the cost </w:t>
      </w:r>
      <w:r w:rsidR="005D0348">
        <w:rPr>
          <w:rFonts w:cstheme="minorHAnsi"/>
        </w:rPr>
        <w:t xml:space="preserve">should be allocated among </w:t>
      </w:r>
      <w:r w:rsidR="00AA61CE" w:rsidRPr="00AA61CE">
        <w:rPr>
          <w:rFonts w:cstheme="minorHAnsi"/>
        </w:rPr>
        <w:t>intermittent generators, non-performing dispatchable generators, and load</w:t>
      </w:r>
      <w:r w:rsidR="005D0348">
        <w:rPr>
          <w:rFonts w:cstheme="minorHAnsi"/>
        </w:rPr>
        <w:t>s</w:t>
      </w:r>
      <w:r w:rsidR="00AA61CE">
        <w:rPr>
          <w:rFonts w:cstheme="minorHAnsi"/>
        </w:rPr>
        <w:t xml:space="preserve"> that are driving the need for the service.</w:t>
      </w:r>
    </w:p>
    <w:p w14:paraId="5DCE9B95" w14:textId="77777777" w:rsidR="00C31F11" w:rsidRDefault="00C31F11" w:rsidP="001B60F8">
      <w:pPr>
        <w:spacing w:after="0" w:line="240" w:lineRule="auto"/>
        <w:rPr>
          <w:rFonts w:cstheme="minorHAnsi"/>
        </w:rPr>
      </w:pPr>
    </w:p>
    <w:p w14:paraId="5D23F3D6" w14:textId="77777777" w:rsidR="005519C5" w:rsidRDefault="005519C5" w:rsidP="005519C5">
      <w:pPr>
        <w:spacing w:after="0" w:line="240" w:lineRule="auto"/>
        <w:rPr>
          <w:rFonts w:cstheme="minorHAnsi"/>
        </w:rPr>
      </w:pPr>
      <w:r>
        <w:rPr>
          <w:rFonts w:cstheme="minorHAnsi"/>
          <w:b/>
          <w:bCs/>
        </w:rPr>
        <w:t>Suggestions for Improvement to the PCM</w:t>
      </w:r>
    </w:p>
    <w:p w14:paraId="474E53B3" w14:textId="77777777" w:rsidR="005519C5" w:rsidRDefault="005519C5" w:rsidP="005519C5">
      <w:pPr>
        <w:spacing w:after="0" w:line="240" w:lineRule="auto"/>
        <w:rPr>
          <w:rFonts w:cstheme="minorHAnsi"/>
        </w:rPr>
      </w:pPr>
    </w:p>
    <w:p w14:paraId="22EDD6A4" w14:textId="1B867034" w:rsidR="005519C5" w:rsidRDefault="005519C5" w:rsidP="005519C5">
      <w:pPr>
        <w:spacing w:after="0" w:line="240" w:lineRule="auto"/>
        <w:rPr>
          <w:rFonts w:cstheme="minorHAnsi"/>
        </w:rPr>
      </w:pPr>
      <w:r>
        <w:rPr>
          <w:rFonts w:cstheme="minorHAnsi"/>
        </w:rPr>
        <w:t xml:space="preserve">Given the </w:t>
      </w:r>
      <w:r w:rsidR="009008EA">
        <w:rPr>
          <w:rFonts w:cstheme="minorHAnsi"/>
        </w:rPr>
        <w:t xml:space="preserve">commission Chairman’s </w:t>
      </w:r>
      <w:r>
        <w:rPr>
          <w:rFonts w:cstheme="minorHAnsi"/>
        </w:rPr>
        <w:t>stated</w:t>
      </w:r>
      <w:r>
        <w:rPr>
          <w:rFonts w:cstheme="minorHAnsi"/>
        </w:rPr>
        <w:t xml:space="preserve"> preference for the PCM concept, we offer a few suggestions for improving that concept as outlined in the E3 report.</w:t>
      </w:r>
      <w:r w:rsidR="00427ED0">
        <w:rPr>
          <w:rFonts w:cstheme="minorHAnsi"/>
        </w:rPr>
        <w:t xml:space="preserve"> We also believe these </w:t>
      </w:r>
      <w:r w:rsidR="00564E1E">
        <w:rPr>
          <w:rFonts w:cstheme="minorHAnsi"/>
        </w:rPr>
        <w:t>changes</w:t>
      </w:r>
      <w:r w:rsidR="00427ED0">
        <w:rPr>
          <w:rFonts w:cstheme="minorHAnsi"/>
        </w:rPr>
        <w:t xml:space="preserve"> would improve the FRM as well and urge the commission to study more closely whether the FRM </w:t>
      </w:r>
      <w:r w:rsidR="003F7235">
        <w:rPr>
          <w:rFonts w:cstheme="minorHAnsi"/>
        </w:rPr>
        <w:t xml:space="preserve">with these changes </w:t>
      </w:r>
      <w:r w:rsidR="00427ED0">
        <w:rPr>
          <w:rFonts w:cstheme="minorHAnsi"/>
        </w:rPr>
        <w:t>might be better suited</w:t>
      </w:r>
      <w:r w:rsidR="00C804E7">
        <w:rPr>
          <w:rFonts w:cstheme="minorHAnsi"/>
        </w:rPr>
        <w:t xml:space="preserve"> than the PCM</w:t>
      </w:r>
      <w:r w:rsidR="00427ED0">
        <w:rPr>
          <w:rFonts w:cstheme="minorHAnsi"/>
        </w:rPr>
        <w:t xml:space="preserve"> to achieving the goals </w:t>
      </w:r>
      <w:r w:rsidR="003F7235">
        <w:rPr>
          <w:rFonts w:cstheme="minorHAnsi"/>
        </w:rPr>
        <w:t>of this market redesign process</w:t>
      </w:r>
      <w:r w:rsidR="00427ED0">
        <w:rPr>
          <w:rFonts w:cstheme="minorHAnsi"/>
        </w:rPr>
        <w:t>.</w:t>
      </w:r>
      <w:r>
        <w:rPr>
          <w:rFonts w:cstheme="minorHAnsi"/>
        </w:rPr>
        <w:t xml:space="preserve"> Incorporating the first three suggestions </w:t>
      </w:r>
      <w:r w:rsidR="00F4470C">
        <w:rPr>
          <w:rFonts w:cstheme="minorHAnsi"/>
        </w:rPr>
        <w:t xml:space="preserve">noted above </w:t>
      </w:r>
      <w:r w:rsidR="004132E6">
        <w:rPr>
          <w:rFonts w:cstheme="minorHAnsi"/>
        </w:rPr>
        <w:t xml:space="preserve">into either service </w:t>
      </w:r>
      <w:r>
        <w:rPr>
          <w:rFonts w:cstheme="minorHAnsi"/>
        </w:rPr>
        <w:t>will help ensure that the service is properly targeted toward rewarding dispatchable generation that can commit to being online during times of scarcity, as required by SB 3. A service that lacks these elements will likely not be sized properly or will improperly reward generators who happen to be online during a scarcity event but cannot guarantee their availability under all conditions.</w:t>
      </w:r>
    </w:p>
    <w:p w14:paraId="1E25703F" w14:textId="77777777" w:rsidR="00974D44" w:rsidRDefault="00974D44" w:rsidP="005519C5">
      <w:pPr>
        <w:spacing w:after="0" w:line="240" w:lineRule="auto"/>
        <w:rPr>
          <w:rFonts w:cstheme="minorHAnsi"/>
        </w:rPr>
      </w:pPr>
    </w:p>
    <w:p w14:paraId="1C2DD2F7" w14:textId="3ECD97C1" w:rsidR="00974D44" w:rsidRDefault="00974D44" w:rsidP="005519C5">
      <w:pPr>
        <w:spacing w:after="0" w:line="240" w:lineRule="auto"/>
        <w:rPr>
          <w:rFonts w:cstheme="minorHAnsi"/>
        </w:rPr>
      </w:pPr>
      <w:r>
        <w:rPr>
          <w:rFonts w:cstheme="minorHAnsi"/>
        </w:rPr>
        <w:t xml:space="preserve">The final element of cost allocation </w:t>
      </w:r>
      <w:r w:rsidR="005073BF">
        <w:rPr>
          <w:rFonts w:cstheme="minorHAnsi"/>
        </w:rPr>
        <w:t>is the key element that would bring th</w:t>
      </w:r>
      <w:r w:rsidR="007E7884">
        <w:rPr>
          <w:rFonts w:cstheme="minorHAnsi"/>
        </w:rPr>
        <w:t>e PCM</w:t>
      </w:r>
      <w:r w:rsidR="005073BF">
        <w:rPr>
          <w:rFonts w:cstheme="minorHAnsi"/>
        </w:rPr>
        <w:t xml:space="preserve"> closer in line to </w:t>
      </w:r>
      <w:r w:rsidR="00C40F36">
        <w:rPr>
          <w:rFonts w:cstheme="minorHAnsi"/>
        </w:rPr>
        <w:t>the firming requirement that we have long advocated for.</w:t>
      </w:r>
      <w:r>
        <w:rPr>
          <w:rFonts w:cstheme="minorHAnsi"/>
        </w:rPr>
        <w:t xml:space="preserve"> It is still our opinion that the Commission has the authority to</w:t>
      </w:r>
      <w:r w:rsidR="001409C8">
        <w:rPr>
          <w:rFonts w:cstheme="minorHAnsi"/>
        </w:rPr>
        <w:t xml:space="preserve"> </w:t>
      </w:r>
      <w:r w:rsidR="00E04CCF">
        <w:rPr>
          <w:rFonts w:cstheme="minorHAnsi"/>
        </w:rPr>
        <w:t>en</w:t>
      </w:r>
      <w:r w:rsidR="00797FCB">
        <w:rPr>
          <w:rFonts w:cstheme="minorHAnsi"/>
        </w:rPr>
        <w:t>a</w:t>
      </w:r>
      <w:r w:rsidR="00E04CCF">
        <w:rPr>
          <w:rFonts w:cstheme="minorHAnsi"/>
        </w:rPr>
        <w:t xml:space="preserve">ct </w:t>
      </w:r>
      <w:r w:rsidR="00663E3B">
        <w:rPr>
          <w:rFonts w:cstheme="minorHAnsi"/>
        </w:rPr>
        <w:t>a holistic cost allo</w:t>
      </w:r>
      <w:r w:rsidR="00182A53">
        <w:rPr>
          <w:rFonts w:cstheme="minorHAnsi"/>
        </w:rPr>
        <w:t>cation mechanism for this service</w:t>
      </w:r>
      <w:r w:rsidR="001409C8">
        <w:rPr>
          <w:rFonts w:cstheme="minorHAnsi"/>
        </w:rPr>
        <w:t xml:space="preserve"> under Senate Bill 3, and </w:t>
      </w:r>
      <w:r w:rsidR="007E7884">
        <w:rPr>
          <w:rFonts w:cstheme="minorHAnsi"/>
        </w:rPr>
        <w:t xml:space="preserve">Governor </w:t>
      </w:r>
      <w:r w:rsidR="00797FCB">
        <w:rPr>
          <w:rFonts w:cstheme="minorHAnsi"/>
        </w:rPr>
        <w:t>Abbott’s July 2021 letter</w:t>
      </w:r>
      <w:r w:rsidR="001D5BD3">
        <w:rPr>
          <w:rStyle w:val="FootnoteReference"/>
          <w:rFonts w:cstheme="minorHAnsi"/>
        </w:rPr>
        <w:footnoteReference w:id="9"/>
      </w:r>
      <w:r w:rsidR="007E7884">
        <w:rPr>
          <w:rFonts w:cstheme="minorHAnsi"/>
        </w:rPr>
        <w:t xml:space="preserve"> indicated a clear support for </w:t>
      </w:r>
      <w:r w:rsidR="00797FCB">
        <w:rPr>
          <w:rFonts w:cstheme="minorHAnsi"/>
        </w:rPr>
        <w:t>allocati</w:t>
      </w:r>
      <w:r w:rsidR="00DA030C">
        <w:rPr>
          <w:rFonts w:cstheme="minorHAnsi"/>
        </w:rPr>
        <w:t>ng at least some of the cost</w:t>
      </w:r>
      <w:r w:rsidR="00797FCB">
        <w:rPr>
          <w:rFonts w:cstheme="minorHAnsi"/>
        </w:rPr>
        <w:t xml:space="preserve"> for reliability services to intermittent generators</w:t>
      </w:r>
      <w:r w:rsidR="00FF2F7F">
        <w:rPr>
          <w:rFonts w:cstheme="minorHAnsi"/>
        </w:rPr>
        <w:t xml:space="preserve">. However, </w:t>
      </w:r>
      <w:r w:rsidR="009922A8">
        <w:rPr>
          <w:rFonts w:cstheme="minorHAnsi"/>
        </w:rPr>
        <w:t xml:space="preserve">in view of not defeating the good in search of the perfect and stunting all progress, </w:t>
      </w:r>
      <w:r w:rsidR="00A15A63">
        <w:rPr>
          <w:rFonts w:cstheme="minorHAnsi"/>
        </w:rPr>
        <w:t xml:space="preserve">we would </w:t>
      </w:r>
      <w:r w:rsidR="00303AB0">
        <w:rPr>
          <w:rFonts w:cstheme="minorHAnsi"/>
        </w:rPr>
        <w:t xml:space="preserve">still support </w:t>
      </w:r>
      <w:r w:rsidR="006F5490">
        <w:rPr>
          <w:rFonts w:cstheme="minorHAnsi"/>
        </w:rPr>
        <w:t>the commission moving forward with implementing</w:t>
      </w:r>
      <w:r w:rsidR="007A6DF8">
        <w:rPr>
          <w:rFonts w:cstheme="minorHAnsi"/>
        </w:rPr>
        <w:t xml:space="preserve"> the PCM if it included the first three elements below</w:t>
      </w:r>
      <w:r w:rsidR="00230075">
        <w:rPr>
          <w:rFonts w:cstheme="minorHAnsi"/>
        </w:rPr>
        <w:t xml:space="preserve">, with the </w:t>
      </w:r>
      <w:r w:rsidR="00485C9B">
        <w:rPr>
          <w:rFonts w:cstheme="minorHAnsi"/>
        </w:rPr>
        <w:t>hope</w:t>
      </w:r>
      <w:r w:rsidR="009120DC">
        <w:rPr>
          <w:rFonts w:cstheme="minorHAnsi"/>
        </w:rPr>
        <w:t xml:space="preserve"> that the </w:t>
      </w:r>
      <w:r w:rsidR="00FD093C">
        <w:rPr>
          <w:rFonts w:cstheme="minorHAnsi"/>
        </w:rPr>
        <w:t>l</w:t>
      </w:r>
      <w:r w:rsidR="009120DC">
        <w:rPr>
          <w:rFonts w:cstheme="minorHAnsi"/>
        </w:rPr>
        <w:t xml:space="preserve">egislature </w:t>
      </w:r>
      <w:r w:rsidR="00F95254">
        <w:rPr>
          <w:rFonts w:cstheme="minorHAnsi"/>
        </w:rPr>
        <w:t>will</w:t>
      </w:r>
      <w:r w:rsidR="009120DC">
        <w:rPr>
          <w:rFonts w:cstheme="minorHAnsi"/>
        </w:rPr>
        <w:t xml:space="preserve"> provide more clear direction </w:t>
      </w:r>
      <w:r w:rsidR="00EC5BEF">
        <w:rPr>
          <w:rFonts w:cstheme="minorHAnsi"/>
        </w:rPr>
        <w:t xml:space="preserve">to the commission </w:t>
      </w:r>
      <w:r w:rsidR="009120DC">
        <w:rPr>
          <w:rFonts w:cstheme="minorHAnsi"/>
        </w:rPr>
        <w:t>on cost allocation as soon as possible</w:t>
      </w:r>
      <w:r w:rsidR="007A6DF8">
        <w:rPr>
          <w:rFonts w:cstheme="minorHAnsi"/>
        </w:rPr>
        <w:t>.</w:t>
      </w:r>
    </w:p>
    <w:p w14:paraId="1950188A" w14:textId="77777777" w:rsidR="005519C5" w:rsidRDefault="005519C5" w:rsidP="005519C5">
      <w:pPr>
        <w:spacing w:after="0" w:line="240" w:lineRule="auto"/>
        <w:rPr>
          <w:rFonts w:cstheme="minorHAnsi"/>
        </w:rPr>
      </w:pPr>
    </w:p>
    <w:p w14:paraId="30CA1A22" w14:textId="1CF2753E" w:rsidR="005519C5" w:rsidRDefault="005519C5" w:rsidP="005519C5">
      <w:pPr>
        <w:pStyle w:val="ListParagraph"/>
        <w:numPr>
          <w:ilvl w:val="0"/>
          <w:numId w:val="8"/>
        </w:numPr>
        <w:spacing w:after="0" w:line="240" w:lineRule="auto"/>
        <w:rPr>
          <w:rFonts w:cstheme="minorHAnsi"/>
        </w:rPr>
      </w:pPr>
      <w:r w:rsidRPr="00341DCE">
        <w:rPr>
          <w:rFonts w:cstheme="minorHAnsi"/>
          <w:b/>
          <w:bCs/>
        </w:rPr>
        <w:t xml:space="preserve">Size the </w:t>
      </w:r>
      <w:r>
        <w:rPr>
          <w:rFonts w:cstheme="minorHAnsi"/>
          <w:b/>
          <w:bCs/>
        </w:rPr>
        <w:t>service</w:t>
      </w:r>
      <w:r w:rsidRPr="00341DCE">
        <w:rPr>
          <w:rFonts w:cstheme="minorHAnsi"/>
          <w:b/>
          <w:bCs/>
        </w:rPr>
        <w:t xml:space="preserve"> to </w:t>
      </w:r>
      <w:r>
        <w:rPr>
          <w:rFonts w:cstheme="minorHAnsi"/>
          <w:b/>
          <w:bCs/>
        </w:rPr>
        <w:t>reduce</w:t>
      </w:r>
      <w:r w:rsidRPr="00341DCE">
        <w:rPr>
          <w:rFonts w:cstheme="minorHAnsi"/>
          <w:b/>
          <w:bCs/>
        </w:rPr>
        <w:t xml:space="preserve"> net peak load</w:t>
      </w:r>
      <w:r>
        <w:rPr>
          <w:rFonts w:cstheme="minorHAnsi"/>
          <w:b/>
          <w:bCs/>
        </w:rPr>
        <w:t xml:space="preserve"> variability. </w:t>
      </w:r>
      <w:r>
        <w:rPr>
          <w:rFonts w:cstheme="minorHAnsi"/>
        </w:rPr>
        <w:t>Size is critical as a mechanism that is too large or too lucrative will threaten the vitality of the energy-only market and impose greater costs on ratepayers than what is necessary to meet the targeted reliability standard. Following this principle, we believe the PCM should be sized according to the goal of reducing peak net load variability sufficiently to meet the targeted reliability standard</w:t>
      </w:r>
      <w:r w:rsidR="0074112D">
        <w:rPr>
          <w:rFonts w:cstheme="minorHAnsi"/>
        </w:rPr>
        <w:t>, as required by SB 3</w:t>
      </w:r>
      <w:r>
        <w:rPr>
          <w:rFonts w:cstheme="minorHAnsi"/>
        </w:rPr>
        <w:t>.</w:t>
      </w:r>
      <w:r w:rsidR="00774324">
        <w:rPr>
          <w:rFonts w:cstheme="minorHAnsi"/>
        </w:rPr>
        <w:t xml:space="preserve"> </w:t>
      </w:r>
      <w:r w:rsidR="00DE40B5">
        <w:rPr>
          <w:rFonts w:cstheme="minorHAnsi"/>
        </w:rPr>
        <w:t xml:space="preserve">Sizing the standard according to the </w:t>
      </w:r>
      <w:r w:rsidR="005C017E">
        <w:rPr>
          <w:rFonts w:cstheme="minorHAnsi"/>
        </w:rPr>
        <w:t>times of lowest operating reserves</w:t>
      </w:r>
      <w:r w:rsidR="00DE40B5">
        <w:rPr>
          <w:rFonts w:cstheme="minorHAnsi"/>
        </w:rPr>
        <w:t xml:space="preserve"> as the E3 report contemplates, is not appropriate for a mechanism that is trying to ensure adequate dispatchable capacity. There are numerous </w:t>
      </w:r>
      <w:r w:rsidR="005C017E">
        <w:rPr>
          <w:rFonts w:cstheme="minorHAnsi"/>
        </w:rPr>
        <w:t>reasons operating reserves can be low</w:t>
      </w:r>
      <w:r w:rsidR="00EA5686">
        <w:rPr>
          <w:rFonts w:cstheme="minorHAnsi"/>
        </w:rPr>
        <w:t>,</w:t>
      </w:r>
      <w:r w:rsidR="002B553F">
        <w:rPr>
          <w:rFonts w:cstheme="minorHAnsi"/>
        </w:rPr>
        <w:t xml:space="preserve"> including under forecasting load conditions,</w:t>
      </w:r>
      <w:r w:rsidR="00EA5686">
        <w:rPr>
          <w:rFonts w:cstheme="minorHAnsi"/>
        </w:rPr>
        <w:t xml:space="preserve"> whereas times of </w:t>
      </w:r>
      <w:r w:rsidR="005746E2">
        <w:rPr>
          <w:rFonts w:cstheme="minorHAnsi"/>
        </w:rPr>
        <w:t>highest net load actually represent the highest demand on dispatchable capacity</w:t>
      </w:r>
      <w:r w:rsidR="00D44664">
        <w:rPr>
          <w:rFonts w:cstheme="minorHAnsi"/>
        </w:rPr>
        <w:t>. Therefore, any capacity mechanism should be centered on ensuring resource adequacy during times of peak net load.</w:t>
      </w:r>
    </w:p>
    <w:p w14:paraId="54596670" w14:textId="57F9D4A8" w:rsidR="005519C5" w:rsidRDefault="005519C5" w:rsidP="005519C5">
      <w:pPr>
        <w:pStyle w:val="ListParagraph"/>
        <w:numPr>
          <w:ilvl w:val="0"/>
          <w:numId w:val="8"/>
        </w:numPr>
        <w:spacing w:after="0" w:line="240" w:lineRule="auto"/>
        <w:rPr>
          <w:rFonts w:cstheme="minorHAnsi"/>
        </w:rPr>
      </w:pPr>
      <w:r>
        <w:rPr>
          <w:rFonts w:cstheme="minorHAnsi"/>
          <w:b/>
          <w:bCs/>
        </w:rPr>
        <w:t xml:space="preserve">Do not allow </w:t>
      </w:r>
      <w:r w:rsidRPr="00341DCE">
        <w:rPr>
          <w:rFonts w:cstheme="minorHAnsi"/>
          <w:b/>
          <w:bCs/>
        </w:rPr>
        <w:t xml:space="preserve">non-firmed </w:t>
      </w:r>
      <w:bookmarkStart w:id="0" w:name="_Hlk121870086"/>
      <w:r>
        <w:rPr>
          <w:rFonts w:cstheme="minorHAnsi"/>
          <w:b/>
          <w:bCs/>
        </w:rPr>
        <w:t>wind and solar generators</w:t>
      </w:r>
      <w:r w:rsidRPr="00341DCE">
        <w:rPr>
          <w:rFonts w:cstheme="minorHAnsi"/>
          <w:b/>
          <w:bCs/>
        </w:rPr>
        <w:t xml:space="preserve"> </w:t>
      </w:r>
      <w:bookmarkEnd w:id="0"/>
      <w:r>
        <w:rPr>
          <w:rFonts w:cstheme="minorHAnsi"/>
          <w:b/>
          <w:bCs/>
        </w:rPr>
        <w:t xml:space="preserve">to be </w:t>
      </w:r>
      <w:r w:rsidRPr="00341DCE">
        <w:rPr>
          <w:rFonts w:cstheme="minorHAnsi"/>
          <w:b/>
          <w:bCs/>
        </w:rPr>
        <w:t>eligible</w:t>
      </w:r>
      <w:r>
        <w:rPr>
          <w:rFonts w:cstheme="minorHAnsi"/>
          <w:b/>
          <w:bCs/>
        </w:rPr>
        <w:t xml:space="preserve"> for the service</w:t>
      </w:r>
      <w:r w:rsidRPr="00341DCE">
        <w:rPr>
          <w:rFonts w:cstheme="minorHAnsi"/>
          <w:b/>
          <w:bCs/>
        </w:rPr>
        <w:t>.</w:t>
      </w:r>
      <w:r w:rsidRPr="00341DCE">
        <w:rPr>
          <w:rFonts w:cstheme="minorHAnsi"/>
        </w:rPr>
        <w:t xml:space="preserve"> A technology</w:t>
      </w:r>
      <w:r>
        <w:rPr>
          <w:rFonts w:cstheme="minorHAnsi"/>
        </w:rPr>
        <w:t>-</w:t>
      </w:r>
      <w:r w:rsidRPr="00341DCE">
        <w:rPr>
          <w:rFonts w:cstheme="minorHAnsi"/>
        </w:rPr>
        <w:t xml:space="preserve">agnostic approach may still direct a lot of payments to wind and solar that by chance produce during the assessed hours and will not impose proper market discipline or any incentive for </w:t>
      </w:r>
      <w:r>
        <w:rPr>
          <w:rFonts w:cstheme="minorHAnsi"/>
        </w:rPr>
        <w:t xml:space="preserve">intermittent generation to provide firm power. Requiring resources to bid ahead may achieve a similar result as a dispatchable-only requirement, but in either case, it is essential that the </w:t>
      </w:r>
      <w:r>
        <w:rPr>
          <w:rFonts w:cstheme="minorHAnsi"/>
        </w:rPr>
        <w:lastRenderedPageBreak/>
        <w:t>service direct revenue to the types of long-duration dispatchable resources that can reduce the probability of long-duration loss of load events during extreme weather. Experience with the ORDC has shown that a non-targeted approach will tend to incent more of what is already being built in the market, which is non-firmed wind and solar.</w:t>
      </w:r>
    </w:p>
    <w:p w14:paraId="04BBB999" w14:textId="77777777" w:rsidR="005519C5" w:rsidRPr="00341DCE" w:rsidRDefault="005519C5" w:rsidP="005519C5">
      <w:pPr>
        <w:pStyle w:val="ListParagraph"/>
        <w:numPr>
          <w:ilvl w:val="0"/>
          <w:numId w:val="8"/>
        </w:numPr>
        <w:spacing w:after="0" w:line="240" w:lineRule="auto"/>
        <w:rPr>
          <w:rFonts w:cstheme="minorHAnsi"/>
        </w:rPr>
      </w:pPr>
      <w:r>
        <w:rPr>
          <w:rFonts w:cstheme="minorHAnsi"/>
          <w:b/>
          <w:bCs/>
        </w:rPr>
        <w:t>Ensure that the service minimizes or eliminates the need for the ORDC and frequent use of reliability unit commitments.</w:t>
      </w:r>
      <w:r>
        <w:rPr>
          <w:rFonts w:cstheme="minorHAnsi"/>
        </w:rPr>
        <w:t xml:space="preserve"> Especially in the absence of cost allocation for backup power to wind and solar generators, the new service must reduce or eliminate the need for ORDC payments that go to wind and solar generators who happen to show up during one scarcity event but cannot guarantee in advance that they will be available during the next scarcity event. Any mechanism to ensure resource adequacy must properly value dispatchable generators that can ramp up to meet demand under all conditions. The mechanism should also reduce the frequency of scarcity events and largely eliminate the need for reliability unit commitments, which should only be used very sparingly in a properly functioning market.</w:t>
      </w:r>
    </w:p>
    <w:p w14:paraId="66F19668" w14:textId="5FB3390A" w:rsidR="005519C5" w:rsidRPr="005519C5" w:rsidRDefault="005519C5" w:rsidP="001B60F8">
      <w:pPr>
        <w:pStyle w:val="ListParagraph"/>
        <w:numPr>
          <w:ilvl w:val="0"/>
          <w:numId w:val="8"/>
        </w:numPr>
        <w:spacing w:after="0" w:line="240" w:lineRule="auto"/>
        <w:rPr>
          <w:rFonts w:cstheme="minorHAnsi"/>
        </w:rPr>
      </w:pPr>
      <w:r w:rsidRPr="00C001A0">
        <w:rPr>
          <w:rFonts w:cstheme="minorHAnsi"/>
          <w:b/>
          <w:bCs/>
        </w:rPr>
        <w:t>Create a mechanism to allocate the cost of the service back to th</w:t>
      </w:r>
      <w:r>
        <w:rPr>
          <w:rFonts w:cstheme="minorHAnsi"/>
          <w:b/>
          <w:bCs/>
        </w:rPr>
        <w:t>e entities</w:t>
      </w:r>
      <w:r w:rsidRPr="00C001A0">
        <w:rPr>
          <w:rFonts w:cstheme="minorHAnsi"/>
          <w:b/>
          <w:bCs/>
        </w:rPr>
        <w:t xml:space="preserve"> </w:t>
      </w:r>
      <w:r>
        <w:rPr>
          <w:rFonts w:cstheme="minorHAnsi"/>
          <w:b/>
          <w:bCs/>
        </w:rPr>
        <w:t>that</w:t>
      </w:r>
      <w:r w:rsidRPr="00C001A0">
        <w:rPr>
          <w:rFonts w:cstheme="minorHAnsi"/>
          <w:b/>
          <w:bCs/>
        </w:rPr>
        <w:t xml:space="preserve"> most contribute to the strain on the system during net peak load hours.</w:t>
      </w:r>
      <w:r w:rsidRPr="00341DCE">
        <w:rPr>
          <w:rFonts w:cstheme="minorHAnsi"/>
        </w:rPr>
        <w:t xml:space="preserve"> </w:t>
      </w:r>
      <w:r>
        <w:rPr>
          <w:rFonts w:cstheme="minorHAnsi"/>
        </w:rPr>
        <w:t xml:space="preserve">The cost of the service should be allocated holistically to </w:t>
      </w:r>
      <w:r w:rsidRPr="00341DCE">
        <w:rPr>
          <w:rFonts w:cstheme="minorHAnsi"/>
        </w:rPr>
        <w:t>a combination of non-performing thermal generation, non-firmed renewables, and load, which will encourage demand response and/or conservation.</w:t>
      </w:r>
      <w:r>
        <w:rPr>
          <w:rFonts w:cstheme="minorHAnsi"/>
        </w:rPr>
        <w:t xml:space="preserve"> Please see our comments on the South Texas Electric Cooperative proposal</w:t>
      </w:r>
      <w:r>
        <w:rPr>
          <w:rStyle w:val="FootnoteReference"/>
          <w:rFonts w:cstheme="minorHAnsi"/>
        </w:rPr>
        <w:footnoteReference w:id="10"/>
      </w:r>
      <w:r>
        <w:rPr>
          <w:rFonts w:cstheme="minorHAnsi"/>
        </w:rPr>
        <w:t xml:space="preserve"> for more details on how we believe cost allocation should be applied in the context of a market-wide capacity mechanism like the PCM.</w:t>
      </w:r>
    </w:p>
    <w:p w14:paraId="25929026" w14:textId="77777777" w:rsidR="0084198B" w:rsidRDefault="0084198B" w:rsidP="001B60F8">
      <w:pPr>
        <w:spacing w:after="0" w:line="240" w:lineRule="auto"/>
        <w:rPr>
          <w:rFonts w:cstheme="minorHAnsi"/>
        </w:rPr>
      </w:pPr>
    </w:p>
    <w:p w14:paraId="1FA18F51" w14:textId="03FB15D4" w:rsidR="00CE2568" w:rsidRDefault="00BA1C89" w:rsidP="001B60F8">
      <w:pPr>
        <w:spacing w:after="0" w:line="240" w:lineRule="auto"/>
        <w:rPr>
          <w:rFonts w:cstheme="minorHAnsi"/>
        </w:rPr>
      </w:pPr>
      <w:r>
        <w:rPr>
          <w:rFonts w:cstheme="minorHAnsi"/>
          <w:b/>
          <w:bCs/>
        </w:rPr>
        <w:t>Critiques of the E3 Report</w:t>
      </w:r>
    </w:p>
    <w:p w14:paraId="400BEDCE" w14:textId="77777777" w:rsidR="00BA1C89" w:rsidRDefault="00BA1C89" w:rsidP="001B60F8">
      <w:pPr>
        <w:spacing w:after="0" w:line="240" w:lineRule="auto"/>
        <w:rPr>
          <w:rFonts w:cstheme="minorHAnsi"/>
        </w:rPr>
      </w:pPr>
    </w:p>
    <w:p w14:paraId="60DFB4D4" w14:textId="232BF32A" w:rsidR="00BA1C89" w:rsidRDefault="003A7C67" w:rsidP="001B60F8">
      <w:pPr>
        <w:spacing w:after="0" w:line="240" w:lineRule="auto"/>
        <w:rPr>
          <w:rFonts w:cstheme="minorHAnsi"/>
        </w:rPr>
      </w:pPr>
      <w:r>
        <w:rPr>
          <w:rFonts w:cstheme="minorHAnsi"/>
        </w:rPr>
        <w:t xml:space="preserve">Before we offer criticisms of the report, we want to </w:t>
      </w:r>
      <w:r w:rsidR="00710413">
        <w:rPr>
          <w:rFonts w:cstheme="minorHAnsi"/>
        </w:rPr>
        <w:t>highlight the value of these types of resource adequacy studies</w:t>
      </w:r>
      <w:r w:rsidR="00DA53B5">
        <w:rPr>
          <w:rFonts w:cstheme="minorHAnsi"/>
        </w:rPr>
        <w:t xml:space="preserve"> as a means of informing the policymaking process.</w:t>
      </w:r>
      <w:r w:rsidR="00EE0750">
        <w:rPr>
          <w:rFonts w:cstheme="minorHAnsi"/>
        </w:rPr>
        <w:t xml:space="preserve"> In an environment where </w:t>
      </w:r>
      <w:r w:rsidR="006050C4">
        <w:rPr>
          <w:rFonts w:cstheme="minorHAnsi"/>
        </w:rPr>
        <w:t>many observers</w:t>
      </w:r>
      <w:r w:rsidR="00CC3207">
        <w:rPr>
          <w:rFonts w:cstheme="minorHAnsi"/>
        </w:rPr>
        <w:t>, including federal regulators</w:t>
      </w:r>
      <w:r w:rsidR="00DD3E84">
        <w:rPr>
          <w:rFonts w:cstheme="minorHAnsi"/>
        </w:rPr>
        <w:t>,</w:t>
      </w:r>
      <w:r w:rsidR="00803086">
        <w:rPr>
          <w:rStyle w:val="FootnoteReference"/>
          <w:rFonts w:cstheme="minorHAnsi"/>
        </w:rPr>
        <w:footnoteReference w:id="11"/>
      </w:r>
      <w:r w:rsidR="006050C4">
        <w:rPr>
          <w:rFonts w:cstheme="minorHAnsi"/>
        </w:rPr>
        <w:t xml:space="preserve"> are saying that there is not a shortage of dispatchable capacity in ERCOT </w:t>
      </w:r>
      <w:r w:rsidR="004710D2">
        <w:rPr>
          <w:rFonts w:cstheme="minorHAnsi"/>
        </w:rPr>
        <w:t>or that</w:t>
      </w:r>
      <w:r w:rsidR="006050C4">
        <w:rPr>
          <w:rFonts w:cstheme="minorHAnsi"/>
        </w:rPr>
        <w:t xml:space="preserve"> the operational and Phase 1 reforms are sufficient, </w:t>
      </w:r>
      <w:r w:rsidR="00A40E82">
        <w:rPr>
          <w:rFonts w:cstheme="minorHAnsi"/>
        </w:rPr>
        <w:t xml:space="preserve">this type of study, </w:t>
      </w:r>
      <w:r w:rsidR="008E62AA">
        <w:rPr>
          <w:rFonts w:cstheme="minorHAnsi"/>
        </w:rPr>
        <w:t>while</w:t>
      </w:r>
      <w:r w:rsidR="00A40E82">
        <w:rPr>
          <w:rFonts w:cstheme="minorHAnsi"/>
        </w:rPr>
        <w:t xml:space="preserve"> flawed</w:t>
      </w:r>
      <w:r w:rsidR="008E62AA">
        <w:rPr>
          <w:rFonts w:cstheme="minorHAnsi"/>
        </w:rPr>
        <w:t xml:space="preserve"> and incomplete</w:t>
      </w:r>
      <w:r w:rsidR="00A40E82">
        <w:rPr>
          <w:rFonts w:cstheme="minorHAnsi"/>
        </w:rPr>
        <w:t xml:space="preserve"> in certain ways</w:t>
      </w:r>
      <w:r w:rsidR="004F5B45">
        <w:rPr>
          <w:rFonts w:cstheme="minorHAnsi"/>
        </w:rPr>
        <w:t xml:space="preserve">, </w:t>
      </w:r>
      <w:r w:rsidR="00445E65">
        <w:rPr>
          <w:rFonts w:cstheme="minorHAnsi"/>
        </w:rPr>
        <w:t>shows that the</w:t>
      </w:r>
      <w:r w:rsidR="007B2721">
        <w:rPr>
          <w:rFonts w:cstheme="minorHAnsi"/>
        </w:rPr>
        <w:t>re is a</w:t>
      </w:r>
      <w:r w:rsidR="00445E65">
        <w:rPr>
          <w:rFonts w:cstheme="minorHAnsi"/>
        </w:rPr>
        <w:t xml:space="preserve"> looming shortage of dispatchable capacity in ERCOT </w:t>
      </w:r>
      <w:r w:rsidR="007B2721">
        <w:rPr>
          <w:rFonts w:cstheme="minorHAnsi"/>
        </w:rPr>
        <w:t xml:space="preserve">and </w:t>
      </w:r>
      <w:r w:rsidR="001C067C">
        <w:rPr>
          <w:rFonts w:cstheme="minorHAnsi"/>
        </w:rPr>
        <w:t xml:space="preserve">that </w:t>
      </w:r>
      <w:r w:rsidR="007B2721">
        <w:rPr>
          <w:rFonts w:cstheme="minorHAnsi"/>
        </w:rPr>
        <w:t xml:space="preserve">market reform </w:t>
      </w:r>
      <w:r w:rsidR="00445E65">
        <w:rPr>
          <w:rFonts w:cstheme="minorHAnsi"/>
        </w:rPr>
        <w:t>is needed in order to achieve the levels of reliability that Texans expect.</w:t>
      </w:r>
      <w:r w:rsidR="00914F12">
        <w:rPr>
          <w:rFonts w:cstheme="minorHAnsi"/>
        </w:rPr>
        <w:t xml:space="preserve"> Below are the primary critiques we have of the report.</w:t>
      </w:r>
    </w:p>
    <w:p w14:paraId="1B96DD9D" w14:textId="77777777" w:rsidR="00104B4D" w:rsidRDefault="00104B4D" w:rsidP="001B60F8">
      <w:pPr>
        <w:spacing w:after="0" w:line="240" w:lineRule="auto"/>
        <w:rPr>
          <w:rFonts w:cstheme="minorHAnsi"/>
        </w:rPr>
      </w:pPr>
    </w:p>
    <w:p w14:paraId="48E06377" w14:textId="3D81B49B" w:rsidR="00104B4D" w:rsidRDefault="00C9542A" w:rsidP="00C61E86">
      <w:pPr>
        <w:pStyle w:val="ListParagraph"/>
        <w:numPr>
          <w:ilvl w:val="0"/>
          <w:numId w:val="3"/>
        </w:numPr>
        <w:spacing w:after="0" w:line="240" w:lineRule="auto"/>
        <w:rPr>
          <w:rFonts w:cstheme="minorHAnsi"/>
        </w:rPr>
      </w:pPr>
      <w:r>
        <w:rPr>
          <w:rFonts w:cstheme="minorHAnsi"/>
          <w:b/>
          <w:bCs/>
        </w:rPr>
        <w:t xml:space="preserve">As the PUC further develops its policy direction, </w:t>
      </w:r>
      <w:r w:rsidR="005271A1">
        <w:rPr>
          <w:rFonts w:cstheme="minorHAnsi"/>
          <w:b/>
          <w:bCs/>
        </w:rPr>
        <w:t xml:space="preserve">the timeline of study needs to be extended beyond </w:t>
      </w:r>
      <w:r w:rsidR="003E117E">
        <w:rPr>
          <w:rFonts w:cstheme="minorHAnsi"/>
          <w:b/>
          <w:bCs/>
        </w:rPr>
        <w:t xml:space="preserve">2026 </w:t>
      </w:r>
      <w:r w:rsidR="009F1033">
        <w:rPr>
          <w:rFonts w:cstheme="minorHAnsi"/>
          <w:b/>
          <w:bCs/>
        </w:rPr>
        <w:t xml:space="preserve">to appropriately </w:t>
      </w:r>
      <w:r w:rsidR="0007671D">
        <w:rPr>
          <w:rFonts w:cstheme="minorHAnsi"/>
          <w:b/>
          <w:bCs/>
        </w:rPr>
        <w:t>model the</w:t>
      </w:r>
      <w:r w:rsidR="001E69F9">
        <w:rPr>
          <w:rFonts w:cstheme="minorHAnsi"/>
          <w:b/>
          <w:bCs/>
        </w:rPr>
        <w:t xml:space="preserve"> cost and</w:t>
      </w:r>
      <w:r w:rsidR="0007671D">
        <w:rPr>
          <w:rFonts w:cstheme="minorHAnsi"/>
          <w:b/>
          <w:bCs/>
        </w:rPr>
        <w:t xml:space="preserve"> impacts of the </w:t>
      </w:r>
      <w:r w:rsidR="00336695">
        <w:rPr>
          <w:rFonts w:cstheme="minorHAnsi"/>
          <w:b/>
          <w:bCs/>
        </w:rPr>
        <w:t>new programs and the likely resource mix when the programs go into effect</w:t>
      </w:r>
      <w:r w:rsidR="005271A1">
        <w:rPr>
          <w:rFonts w:cstheme="minorHAnsi"/>
          <w:b/>
          <w:bCs/>
        </w:rPr>
        <w:t>.</w:t>
      </w:r>
      <w:r w:rsidR="003E117E">
        <w:rPr>
          <w:rFonts w:cstheme="minorHAnsi"/>
          <w:b/>
          <w:bCs/>
        </w:rPr>
        <w:t xml:space="preserve"> </w:t>
      </w:r>
      <w:r w:rsidR="003E117E">
        <w:rPr>
          <w:rFonts w:cstheme="minorHAnsi"/>
        </w:rPr>
        <w:t>We understand that longer</w:t>
      </w:r>
      <w:r w:rsidR="00E22BA8">
        <w:rPr>
          <w:rFonts w:cstheme="minorHAnsi"/>
        </w:rPr>
        <w:t>-</w:t>
      </w:r>
      <w:r w:rsidR="003E117E">
        <w:rPr>
          <w:rFonts w:cstheme="minorHAnsi"/>
        </w:rPr>
        <w:t>term forecasting in a market where the resource mix is changing so rapidly is difficult</w:t>
      </w:r>
      <w:r w:rsidR="005271A1">
        <w:rPr>
          <w:rFonts w:cstheme="minorHAnsi"/>
        </w:rPr>
        <w:t xml:space="preserve"> and the</w:t>
      </w:r>
      <w:r w:rsidR="00A3598B">
        <w:rPr>
          <w:rFonts w:cstheme="minorHAnsi"/>
        </w:rPr>
        <w:t xml:space="preserve">re are modeling and resource limitations </w:t>
      </w:r>
      <w:r w:rsidR="00ED0CDD">
        <w:rPr>
          <w:rFonts w:cstheme="minorHAnsi"/>
        </w:rPr>
        <w:t>as to how many years can be modeled.</w:t>
      </w:r>
      <w:r w:rsidR="003E117E">
        <w:rPr>
          <w:rFonts w:cstheme="minorHAnsi"/>
        </w:rPr>
        <w:t xml:space="preserve"> </w:t>
      </w:r>
      <w:r w:rsidR="00A3598B">
        <w:rPr>
          <w:rFonts w:cstheme="minorHAnsi"/>
        </w:rPr>
        <w:t>However,</w:t>
      </w:r>
      <w:r w:rsidR="0007671D">
        <w:rPr>
          <w:rFonts w:cstheme="minorHAnsi"/>
        </w:rPr>
        <w:t xml:space="preserve"> 2026 is not enough time to capture the </w:t>
      </w:r>
      <w:r w:rsidR="00336695">
        <w:rPr>
          <w:rFonts w:cstheme="minorHAnsi"/>
        </w:rPr>
        <w:t>long-term</w:t>
      </w:r>
      <w:r w:rsidR="0007671D">
        <w:rPr>
          <w:rFonts w:cstheme="minorHAnsi"/>
        </w:rPr>
        <w:t xml:space="preserve"> cost of the programs, particularly the PCM.</w:t>
      </w:r>
      <w:r w:rsidR="004D297F">
        <w:rPr>
          <w:rFonts w:cstheme="minorHAnsi"/>
        </w:rPr>
        <w:t xml:space="preserve"> Our opinion is that the cost of the PCM</w:t>
      </w:r>
      <w:r w:rsidR="00060017">
        <w:rPr>
          <w:rFonts w:cstheme="minorHAnsi"/>
        </w:rPr>
        <w:t>,</w:t>
      </w:r>
      <w:r w:rsidR="004D297F">
        <w:rPr>
          <w:rFonts w:cstheme="minorHAnsi"/>
        </w:rPr>
        <w:t xml:space="preserve"> </w:t>
      </w:r>
      <w:r w:rsidR="00060017">
        <w:rPr>
          <w:rFonts w:cstheme="minorHAnsi"/>
        </w:rPr>
        <w:t xml:space="preserve">as currently proposed without cost allocation, </w:t>
      </w:r>
      <w:r w:rsidR="004D297F">
        <w:rPr>
          <w:rFonts w:cstheme="minorHAnsi"/>
        </w:rPr>
        <w:t xml:space="preserve">will have to rise steeply to </w:t>
      </w:r>
      <w:r w:rsidR="00633F91">
        <w:rPr>
          <w:rFonts w:cstheme="minorHAnsi"/>
        </w:rPr>
        <w:t>keep up with the growth of wind and solar and pay generators to stay online for fewer and fewer hours.</w:t>
      </w:r>
      <w:r w:rsidR="008E45B7">
        <w:rPr>
          <w:rFonts w:cstheme="minorHAnsi"/>
        </w:rPr>
        <w:t xml:space="preserve"> Ultimately, without cost allocation, </w:t>
      </w:r>
      <w:r w:rsidR="00BE6BC3">
        <w:rPr>
          <w:rFonts w:cstheme="minorHAnsi"/>
        </w:rPr>
        <w:t xml:space="preserve">we believe </w:t>
      </w:r>
      <w:r w:rsidR="008E45B7">
        <w:rPr>
          <w:rFonts w:cstheme="minorHAnsi"/>
        </w:rPr>
        <w:t xml:space="preserve">the market will bifurcate </w:t>
      </w:r>
      <w:r w:rsidR="00CB3476">
        <w:rPr>
          <w:rFonts w:cstheme="minorHAnsi"/>
        </w:rPr>
        <w:t xml:space="preserve">into </w:t>
      </w:r>
      <w:r w:rsidR="00B93582">
        <w:rPr>
          <w:rFonts w:cstheme="minorHAnsi"/>
        </w:rPr>
        <w:t>an energy market dominated by wind and solar and a capacity market for dispatchable generation,</w:t>
      </w:r>
      <w:r w:rsidR="008E45B7">
        <w:rPr>
          <w:rFonts w:cstheme="minorHAnsi"/>
        </w:rPr>
        <w:t xml:space="preserve"> which would be more expensive than an energy</w:t>
      </w:r>
      <w:r w:rsidR="008F6342">
        <w:rPr>
          <w:rFonts w:cstheme="minorHAnsi"/>
        </w:rPr>
        <w:t>-</w:t>
      </w:r>
      <w:r w:rsidR="008E45B7">
        <w:rPr>
          <w:rFonts w:cstheme="minorHAnsi"/>
        </w:rPr>
        <w:t>only market</w:t>
      </w:r>
      <w:r w:rsidR="00BE6BC3">
        <w:rPr>
          <w:rFonts w:cstheme="minorHAnsi"/>
        </w:rPr>
        <w:t xml:space="preserve"> where resources</w:t>
      </w:r>
      <w:r w:rsidR="00CB3476">
        <w:rPr>
          <w:rFonts w:cstheme="minorHAnsi"/>
        </w:rPr>
        <w:t xml:space="preserve"> are </w:t>
      </w:r>
      <w:r w:rsidR="008F6342">
        <w:rPr>
          <w:rFonts w:cstheme="minorHAnsi"/>
        </w:rPr>
        <w:t>used</w:t>
      </w:r>
      <w:r w:rsidR="00CB3476">
        <w:rPr>
          <w:rFonts w:cstheme="minorHAnsi"/>
        </w:rPr>
        <w:t xml:space="preserve"> at much higher </w:t>
      </w:r>
      <w:r w:rsidR="005818E1">
        <w:rPr>
          <w:rFonts w:cstheme="minorHAnsi"/>
        </w:rPr>
        <w:t xml:space="preserve">annual </w:t>
      </w:r>
      <w:r w:rsidR="00CB3476">
        <w:rPr>
          <w:rFonts w:cstheme="minorHAnsi"/>
        </w:rPr>
        <w:t>capacity factors.</w:t>
      </w:r>
    </w:p>
    <w:p w14:paraId="3511441E" w14:textId="0034D4F6" w:rsidR="00914F12" w:rsidRDefault="00C8113D" w:rsidP="00C61E86">
      <w:pPr>
        <w:pStyle w:val="ListParagraph"/>
        <w:numPr>
          <w:ilvl w:val="0"/>
          <w:numId w:val="3"/>
        </w:numPr>
        <w:spacing w:after="0" w:line="240" w:lineRule="auto"/>
        <w:rPr>
          <w:rFonts w:cstheme="minorHAnsi"/>
        </w:rPr>
      </w:pPr>
      <w:r w:rsidRPr="007A1471">
        <w:rPr>
          <w:rFonts w:cstheme="minorHAnsi"/>
          <w:b/>
          <w:bCs/>
        </w:rPr>
        <w:lastRenderedPageBreak/>
        <w:t>Modeling based on a</w:t>
      </w:r>
      <w:r w:rsidR="00914F12" w:rsidRPr="007A1471">
        <w:rPr>
          <w:rFonts w:cstheme="minorHAnsi"/>
          <w:b/>
          <w:bCs/>
        </w:rPr>
        <w:t xml:space="preserve"> 1-in-10 </w:t>
      </w:r>
      <w:r w:rsidRPr="007A1471">
        <w:rPr>
          <w:rFonts w:cstheme="minorHAnsi"/>
          <w:b/>
          <w:bCs/>
        </w:rPr>
        <w:t>reliability standard</w:t>
      </w:r>
      <w:r w:rsidR="00914F12" w:rsidRPr="007A1471">
        <w:rPr>
          <w:rFonts w:cstheme="minorHAnsi"/>
          <w:b/>
          <w:bCs/>
        </w:rPr>
        <w:t xml:space="preserve"> fails to </w:t>
      </w:r>
      <w:r w:rsidRPr="007A1471">
        <w:rPr>
          <w:rFonts w:cstheme="minorHAnsi"/>
          <w:b/>
          <w:bCs/>
        </w:rPr>
        <w:t xml:space="preserve">appropriately </w:t>
      </w:r>
      <w:r w:rsidR="00914F12" w:rsidRPr="007A1471">
        <w:rPr>
          <w:rFonts w:cstheme="minorHAnsi"/>
          <w:b/>
          <w:bCs/>
        </w:rPr>
        <w:t xml:space="preserve">capture </w:t>
      </w:r>
      <w:r w:rsidRPr="007A1471">
        <w:rPr>
          <w:rFonts w:cstheme="minorHAnsi"/>
          <w:b/>
          <w:bCs/>
        </w:rPr>
        <w:t>the probability of long duration loss of load events</w:t>
      </w:r>
      <w:r w:rsidR="009F1033">
        <w:rPr>
          <w:rFonts w:cstheme="minorHAnsi"/>
          <w:b/>
          <w:bCs/>
        </w:rPr>
        <w:t xml:space="preserve"> in grids with high wind and solar penetration</w:t>
      </w:r>
      <w:r w:rsidR="00B36D6D" w:rsidRPr="007A1471">
        <w:rPr>
          <w:rFonts w:cstheme="minorHAnsi"/>
          <w:b/>
          <w:bCs/>
        </w:rPr>
        <w:t>.</w:t>
      </w:r>
      <w:r w:rsidR="00D8353B">
        <w:rPr>
          <w:rFonts w:cstheme="minorHAnsi"/>
        </w:rPr>
        <w:t xml:space="preserve"> </w:t>
      </w:r>
      <w:r>
        <w:rPr>
          <w:rFonts w:cstheme="minorHAnsi"/>
        </w:rPr>
        <w:t xml:space="preserve">Low wind output tends to correlate with </w:t>
      </w:r>
      <w:r w:rsidR="00DC7CF5">
        <w:rPr>
          <w:rFonts w:cstheme="minorHAnsi"/>
        </w:rPr>
        <w:t>high demand as high pressure systems bring extremely hot or extremely cold weather throughout the state. Winter Storm Uri was an extreme example of this very common phenomenon.</w:t>
      </w:r>
      <w:r>
        <w:rPr>
          <w:rFonts w:cstheme="minorHAnsi"/>
        </w:rPr>
        <w:t xml:space="preserve"> </w:t>
      </w:r>
      <w:r w:rsidR="009F546D">
        <w:rPr>
          <w:rFonts w:cstheme="minorHAnsi"/>
        </w:rPr>
        <w:t>Wind and solar droughts</w:t>
      </w:r>
      <w:r w:rsidR="00DC7CF5">
        <w:rPr>
          <w:rFonts w:cstheme="minorHAnsi"/>
        </w:rPr>
        <w:t xml:space="preserve">, </w:t>
      </w:r>
      <w:r w:rsidR="00533DA3">
        <w:rPr>
          <w:rFonts w:cstheme="minorHAnsi"/>
        </w:rPr>
        <w:t>that is</w:t>
      </w:r>
      <w:r w:rsidR="00DC7CF5">
        <w:rPr>
          <w:rFonts w:cstheme="minorHAnsi"/>
        </w:rPr>
        <w:t xml:space="preserve">, </w:t>
      </w:r>
      <w:r w:rsidR="009F546D">
        <w:rPr>
          <w:rFonts w:cstheme="minorHAnsi"/>
        </w:rPr>
        <w:t xml:space="preserve">several days </w:t>
      </w:r>
      <w:r w:rsidR="00DC7CF5">
        <w:rPr>
          <w:rFonts w:cstheme="minorHAnsi"/>
        </w:rPr>
        <w:t>of low wind or solar output in a row, are also common in summer and winter</w:t>
      </w:r>
      <w:r w:rsidR="00B36D6D">
        <w:rPr>
          <w:rFonts w:cstheme="minorHAnsi"/>
        </w:rPr>
        <w:t xml:space="preserve">, and such scenarios would put a strain on energy storage </w:t>
      </w:r>
      <w:r w:rsidR="007A1471">
        <w:rPr>
          <w:rFonts w:cstheme="minorHAnsi"/>
        </w:rPr>
        <w:t>and dispatchable generation</w:t>
      </w:r>
      <w:r w:rsidR="007A215A">
        <w:rPr>
          <w:rFonts w:cstheme="minorHAnsi"/>
        </w:rPr>
        <w:t xml:space="preserve">. </w:t>
      </w:r>
      <w:r w:rsidR="00ED06CC">
        <w:rPr>
          <w:rFonts w:cstheme="minorHAnsi"/>
        </w:rPr>
        <w:t xml:space="preserve">It is difficult to capture </w:t>
      </w:r>
      <w:r w:rsidR="00A137F1">
        <w:rPr>
          <w:rFonts w:cstheme="minorHAnsi"/>
        </w:rPr>
        <w:t xml:space="preserve">the true probability of </w:t>
      </w:r>
      <w:r w:rsidR="00ED06CC">
        <w:rPr>
          <w:rFonts w:cstheme="minorHAnsi"/>
        </w:rPr>
        <w:t xml:space="preserve">these types of correlated events in </w:t>
      </w:r>
      <w:r w:rsidR="00A137F1">
        <w:rPr>
          <w:rFonts w:cstheme="minorHAnsi"/>
        </w:rPr>
        <w:t>the type of</w:t>
      </w:r>
      <w:r w:rsidR="00ED06CC">
        <w:rPr>
          <w:rFonts w:cstheme="minorHAnsi"/>
        </w:rPr>
        <w:t xml:space="preserve"> Monte Carlo simulation</w:t>
      </w:r>
      <w:r w:rsidR="00A137F1">
        <w:rPr>
          <w:rFonts w:cstheme="minorHAnsi"/>
        </w:rPr>
        <w:t xml:space="preserve"> </w:t>
      </w:r>
      <w:r w:rsidR="005839F9">
        <w:rPr>
          <w:rFonts w:cstheme="minorHAnsi"/>
        </w:rPr>
        <w:t xml:space="preserve">that we are assuming this </w:t>
      </w:r>
      <w:r w:rsidR="00777ED1">
        <w:rPr>
          <w:rFonts w:cstheme="minorHAnsi"/>
        </w:rPr>
        <w:t>study employs.</w:t>
      </w:r>
      <w:r w:rsidR="00A137F1">
        <w:rPr>
          <w:rFonts w:cstheme="minorHAnsi"/>
        </w:rPr>
        <w:t xml:space="preserve"> </w:t>
      </w:r>
      <w:r w:rsidR="00F55275">
        <w:rPr>
          <w:rFonts w:cstheme="minorHAnsi"/>
        </w:rPr>
        <w:t xml:space="preserve">As a result, we suspect the study underestimates the probability of long duration loss of load events in a </w:t>
      </w:r>
      <w:r w:rsidR="007628A0">
        <w:rPr>
          <w:rFonts w:cstheme="minorHAnsi"/>
        </w:rPr>
        <w:t>grid with such high levels of wind and solar penetration.</w:t>
      </w:r>
    </w:p>
    <w:p w14:paraId="764F6647" w14:textId="304D2907" w:rsidR="00336695" w:rsidRPr="00C61E86" w:rsidRDefault="00336695" w:rsidP="00C61E86">
      <w:pPr>
        <w:pStyle w:val="ListParagraph"/>
        <w:numPr>
          <w:ilvl w:val="0"/>
          <w:numId w:val="3"/>
        </w:numPr>
        <w:spacing w:after="0" w:line="240" w:lineRule="auto"/>
        <w:rPr>
          <w:rFonts w:cstheme="minorHAnsi"/>
        </w:rPr>
      </w:pPr>
      <w:r>
        <w:rPr>
          <w:rFonts w:cstheme="minorHAnsi"/>
          <w:b/>
          <w:bCs/>
        </w:rPr>
        <w:t xml:space="preserve">The </w:t>
      </w:r>
      <w:r w:rsidR="0011506B">
        <w:rPr>
          <w:rFonts w:cstheme="minorHAnsi"/>
          <w:b/>
          <w:bCs/>
        </w:rPr>
        <w:t xml:space="preserve">cost of the </w:t>
      </w:r>
      <w:r w:rsidR="00374190">
        <w:rPr>
          <w:rFonts w:cstheme="minorHAnsi"/>
          <w:b/>
          <w:bCs/>
        </w:rPr>
        <w:t xml:space="preserve">high-renewable scenario </w:t>
      </w:r>
      <w:r w:rsidR="0011506B">
        <w:rPr>
          <w:rFonts w:cstheme="minorHAnsi"/>
          <w:b/>
          <w:bCs/>
        </w:rPr>
        <w:t xml:space="preserve">is </w:t>
      </w:r>
      <w:r w:rsidR="00F11C5D">
        <w:rPr>
          <w:rFonts w:cstheme="minorHAnsi"/>
          <w:b/>
          <w:bCs/>
        </w:rPr>
        <w:t xml:space="preserve">substantially </w:t>
      </w:r>
      <w:r w:rsidR="0011506B">
        <w:rPr>
          <w:rFonts w:cstheme="minorHAnsi"/>
          <w:b/>
          <w:bCs/>
        </w:rPr>
        <w:t xml:space="preserve">lower </w:t>
      </w:r>
      <w:r w:rsidR="00F07159">
        <w:rPr>
          <w:rFonts w:cstheme="minorHAnsi"/>
          <w:b/>
          <w:bCs/>
        </w:rPr>
        <w:t xml:space="preserve">than in the reference scenario, whereas numerous </w:t>
      </w:r>
      <w:r w:rsidR="00344751">
        <w:rPr>
          <w:rFonts w:cstheme="minorHAnsi"/>
          <w:b/>
          <w:bCs/>
        </w:rPr>
        <w:t xml:space="preserve">other models </w:t>
      </w:r>
      <w:r w:rsidR="00F07159">
        <w:rPr>
          <w:rFonts w:cstheme="minorHAnsi"/>
          <w:b/>
          <w:bCs/>
        </w:rPr>
        <w:t>show costs increasing substantially above 50% wind and solar penetration</w:t>
      </w:r>
      <w:r w:rsidR="0011506B">
        <w:rPr>
          <w:rFonts w:cstheme="minorHAnsi"/>
          <w:b/>
          <w:bCs/>
        </w:rPr>
        <w:t xml:space="preserve">. </w:t>
      </w:r>
      <w:r w:rsidR="0011506B">
        <w:rPr>
          <w:rFonts w:cstheme="minorHAnsi"/>
        </w:rPr>
        <w:t>Without</w:t>
      </w:r>
      <w:r w:rsidR="00344751">
        <w:rPr>
          <w:rFonts w:cstheme="minorHAnsi"/>
        </w:rPr>
        <w:t xml:space="preserve"> having visibility into some of the intricacies of the model, it is hard to discern </w:t>
      </w:r>
      <w:r w:rsidR="00A905A1">
        <w:rPr>
          <w:rFonts w:cstheme="minorHAnsi"/>
        </w:rPr>
        <w:t xml:space="preserve">how the model </w:t>
      </w:r>
      <w:r w:rsidR="00C878DB">
        <w:rPr>
          <w:rFonts w:cstheme="minorHAnsi"/>
        </w:rPr>
        <w:t xml:space="preserve">produces </w:t>
      </w:r>
      <w:r w:rsidR="007559F1">
        <w:rPr>
          <w:rFonts w:cstheme="minorHAnsi"/>
        </w:rPr>
        <w:t xml:space="preserve">$4 billion </w:t>
      </w:r>
      <w:r w:rsidR="00C24D56">
        <w:rPr>
          <w:rFonts w:cstheme="minorHAnsi"/>
        </w:rPr>
        <w:t xml:space="preserve">lower weighted average costs </w:t>
      </w:r>
      <w:r w:rsidR="007559F1">
        <w:rPr>
          <w:rFonts w:cstheme="minorHAnsi"/>
        </w:rPr>
        <w:t xml:space="preserve">for a system with 40 GW more wind and solar </w:t>
      </w:r>
      <w:r w:rsidR="00675AC1">
        <w:rPr>
          <w:rFonts w:cstheme="minorHAnsi"/>
        </w:rPr>
        <w:t xml:space="preserve">and 10 GW more storage </w:t>
      </w:r>
      <w:r w:rsidR="00C24D56">
        <w:rPr>
          <w:rFonts w:cstheme="minorHAnsi"/>
        </w:rPr>
        <w:t>than the reference system</w:t>
      </w:r>
      <w:r w:rsidR="007559F1">
        <w:rPr>
          <w:rFonts w:cstheme="minorHAnsi"/>
        </w:rPr>
        <w:t xml:space="preserve">. </w:t>
      </w:r>
      <w:r w:rsidR="007F04C7">
        <w:rPr>
          <w:rFonts w:cstheme="minorHAnsi"/>
        </w:rPr>
        <w:t xml:space="preserve">Our modeling </w:t>
      </w:r>
      <w:r w:rsidR="00136E2A">
        <w:rPr>
          <w:rFonts w:cstheme="minorHAnsi"/>
        </w:rPr>
        <w:t>indicates costs ris</w:t>
      </w:r>
      <w:r w:rsidR="006533EF">
        <w:rPr>
          <w:rFonts w:cstheme="minorHAnsi"/>
        </w:rPr>
        <w:t>e</w:t>
      </w:r>
      <w:r w:rsidR="00136E2A">
        <w:rPr>
          <w:rFonts w:cstheme="minorHAnsi"/>
        </w:rPr>
        <w:t xml:space="preserve"> substantially </w:t>
      </w:r>
      <w:r w:rsidR="00095A85">
        <w:rPr>
          <w:rFonts w:cstheme="minorHAnsi"/>
        </w:rPr>
        <w:t xml:space="preserve">above 50% wind and </w:t>
      </w:r>
      <w:r w:rsidR="00AC4216">
        <w:rPr>
          <w:rFonts w:cstheme="minorHAnsi"/>
        </w:rPr>
        <w:t xml:space="preserve">solar </w:t>
      </w:r>
      <w:r w:rsidR="006533EF">
        <w:rPr>
          <w:rFonts w:cstheme="minorHAnsi"/>
        </w:rPr>
        <w:t>penetration due</w:t>
      </w:r>
      <w:r w:rsidR="00A50FB9">
        <w:rPr>
          <w:rFonts w:cstheme="minorHAnsi"/>
        </w:rPr>
        <w:t xml:space="preserve"> to</w:t>
      </w:r>
      <w:r w:rsidR="006533EF">
        <w:rPr>
          <w:rFonts w:cstheme="minorHAnsi"/>
        </w:rPr>
        <w:t xml:space="preserve"> </w:t>
      </w:r>
      <w:r w:rsidR="00D94117">
        <w:rPr>
          <w:rFonts w:cstheme="minorHAnsi"/>
        </w:rPr>
        <w:t>increased curtailments of wind and solar, increased storage costs, and the inefficiency of paying dispatchable generators to operate for fewer hours</w:t>
      </w:r>
      <w:r w:rsidR="007F04C7">
        <w:rPr>
          <w:rFonts w:cstheme="minorHAnsi"/>
        </w:rPr>
        <w:t>.</w:t>
      </w:r>
      <w:r w:rsidR="00104BE3">
        <w:rPr>
          <w:rStyle w:val="FootnoteReference"/>
          <w:rFonts w:cstheme="minorHAnsi"/>
        </w:rPr>
        <w:footnoteReference w:id="12"/>
      </w:r>
      <w:r w:rsidR="007F04C7">
        <w:rPr>
          <w:rFonts w:cstheme="minorHAnsi"/>
        </w:rPr>
        <w:t xml:space="preserve"> </w:t>
      </w:r>
      <w:r w:rsidR="006533EF">
        <w:rPr>
          <w:rFonts w:cstheme="minorHAnsi"/>
        </w:rPr>
        <w:t>The</w:t>
      </w:r>
      <w:r w:rsidR="007F04C7">
        <w:rPr>
          <w:rFonts w:cstheme="minorHAnsi"/>
        </w:rPr>
        <w:t xml:space="preserve"> fact that the reliability and performance credits in </w:t>
      </w:r>
      <w:r w:rsidR="00420018">
        <w:rPr>
          <w:rFonts w:cstheme="minorHAnsi"/>
        </w:rPr>
        <w:t xml:space="preserve">Table 29 are almost the same as they are in Table 22 is </w:t>
      </w:r>
      <w:r w:rsidR="00F04FF3">
        <w:rPr>
          <w:rFonts w:cstheme="minorHAnsi"/>
        </w:rPr>
        <w:t>puzzling</w:t>
      </w:r>
      <w:r w:rsidR="00095A85">
        <w:rPr>
          <w:rFonts w:cstheme="minorHAnsi"/>
        </w:rPr>
        <w:t xml:space="preserve">, given that </w:t>
      </w:r>
      <w:r w:rsidR="00392261">
        <w:rPr>
          <w:rFonts w:cstheme="minorHAnsi"/>
        </w:rPr>
        <w:t>dispatchable resources would likely have to draw a large majority of their income from the program at that point</w:t>
      </w:r>
      <w:r w:rsidR="00F04FF3">
        <w:rPr>
          <w:rFonts w:cstheme="minorHAnsi"/>
        </w:rPr>
        <w:t xml:space="preserve">. </w:t>
      </w:r>
      <w:r w:rsidR="00E43299">
        <w:rPr>
          <w:rFonts w:cstheme="minorHAnsi"/>
        </w:rPr>
        <w:t xml:space="preserve">Furthermore, E3’s non-technology neutral option for the PCM </w:t>
      </w:r>
      <w:r w:rsidR="0008319C">
        <w:rPr>
          <w:rFonts w:cstheme="minorHAnsi"/>
        </w:rPr>
        <w:t xml:space="preserve">shows lower costs to </w:t>
      </w:r>
      <w:r w:rsidR="008A54C0">
        <w:rPr>
          <w:rFonts w:cstheme="minorHAnsi"/>
        </w:rPr>
        <w:t>ratepayers in the short-term but not in the long-term.</w:t>
      </w:r>
      <w:r w:rsidR="00E43299">
        <w:rPr>
          <w:rFonts w:cstheme="minorHAnsi"/>
        </w:rPr>
        <w:t xml:space="preserve"> </w:t>
      </w:r>
      <w:r w:rsidR="00136E2A">
        <w:rPr>
          <w:rFonts w:cstheme="minorHAnsi"/>
        </w:rPr>
        <w:t>E3 should provide more explanation of how they arrived at th</w:t>
      </w:r>
      <w:r w:rsidR="00E43299">
        <w:rPr>
          <w:rFonts w:cstheme="minorHAnsi"/>
        </w:rPr>
        <w:t>ese</w:t>
      </w:r>
      <w:r w:rsidR="00136E2A">
        <w:rPr>
          <w:rFonts w:cstheme="minorHAnsi"/>
        </w:rPr>
        <w:t xml:space="preserve"> result</w:t>
      </w:r>
      <w:r w:rsidR="00E43299">
        <w:rPr>
          <w:rFonts w:cstheme="minorHAnsi"/>
        </w:rPr>
        <w:t>s</w:t>
      </w:r>
      <w:r w:rsidR="008A54C0">
        <w:rPr>
          <w:rFonts w:cstheme="minorHAnsi"/>
        </w:rPr>
        <w:t xml:space="preserve">, and how </w:t>
      </w:r>
      <w:r w:rsidR="00CC5080">
        <w:rPr>
          <w:rFonts w:cstheme="minorHAnsi"/>
        </w:rPr>
        <w:t>they accounted for the impact of federal subsidies in their modeling.</w:t>
      </w:r>
    </w:p>
    <w:p w14:paraId="73933E5B" w14:textId="77777777" w:rsidR="004C312D" w:rsidRPr="004C312D" w:rsidRDefault="004C312D" w:rsidP="003B0E93">
      <w:pPr>
        <w:spacing w:after="0" w:line="240" w:lineRule="auto"/>
        <w:rPr>
          <w:rFonts w:cstheme="minorHAnsi"/>
        </w:rPr>
      </w:pPr>
    </w:p>
    <w:p w14:paraId="21929892" w14:textId="215931A5" w:rsidR="00CE2568" w:rsidRPr="00CE2568" w:rsidRDefault="00CE2568" w:rsidP="001B60F8">
      <w:pPr>
        <w:spacing w:after="0" w:line="240" w:lineRule="auto"/>
        <w:rPr>
          <w:rFonts w:cstheme="minorHAnsi"/>
          <w:b/>
          <w:bCs/>
        </w:rPr>
      </w:pPr>
      <w:r>
        <w:rPr>
          <w:rFonts w:cstheme="minorHAnsi"/>
          <w:b/>
          <w:bCs/>
        </w:rPr>
        <w:t>Answers to PUC Staff Questions</w:t>
      </w:r>
    </w:p>
    <w:p w14:paraId="7675BC69" w14:textId="77777777" w:rsidR="00B3088C" w:rsidRPr="001B60F8" w:rsidRDefault="00B3088C" w:rsidP="001B60F8">
      <w:pPr>
        <w:spacing w:after="0" w:line="240" w:lineRule="auto"/>
        <w:ind w:left="720" w:hanging="360"/>
        <w:rPr>
          <w:rFonts w:cstheme="minorHAnsi"/>
        </w:rPr>
      </w:pPr>
    </w:p>
    <w:p w14:paraId="26754A16" w14:textId="7C89B211"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The E3’s report observes that the PCM has no prior precedent for implementation, does this fact present a significant obstacle to its operation for the ERCOT market?</w:t>
      </w:r>
    </w:p>
    <w:p w14:paraId="311A5166" w14:textId="77777777" w:rsidR="00CC06AD" w:rsidRPr="001B60F8" w:rsidRDefault="00CC06AD" w:rsidP="001B60F8">
      <w:pPr>
        <w:pStyle w:val="ListParagraph"/>
        <w:spacing w:after="0" w:line="240" w:lineRule="auto"/>
        <w:rPr>
          <w:rFonts w:cstheme="minorHAnsi"/>
        </w:rPr>
      </w:pPr>
    </w:p>
    <w:p w14:paraId="3CFD8246" w14:textId="42FB1FCF" w:rsidR="00337E39" w:rsidRPr="001B60F8" w:rsidRDefault="00337E39" w:rsidP="001B60F8">
      <w:pPr>
        <w:pStyle w:val="ListParagraph"/>
        <w:spacing w:after="0" w:line="240" w:lineRule="auto"/>
        <w:rPr>
          <w:rFonts w:cstheme="minorHAnsi"/>
        </w:rPr>
      </w:pPr>
      <w:r w:rsidRPr="001B60F8">
        <w:rPr>
          <w:rFonts w:cstheme="minorHAnsi"/>
        </w:rPr>
        <w:t xml:space="preserve">Given that no existing market design is </w:t>
      </w:r>
      <w:r w:rsidR="00E57C35" w:rsidRPr="001B60F8">
        <w:rPr>
          <w:rFonts w:cstheme="minorHAnsi"/>
        </w:rPr>
        <w:t xml:space="preserve">properly dealing with the disruptive nature of massive federal subsidies </w:t>
      </w:r>
      <w:r w:rsidR="008E2F4B">
        <w:rPr>
          <w:rFonts w:cstheme="minorHAnsi"/>
        </w:rPr>
        <w:t>for</w:t>
      </w:r>
      <w:r w:rsidR="008E2F4B" w:rsidRPr="001B60F8">
        <w:rPr>
          <w:rFonts w:cstheme="minorHAnsi"/>
        </w:rPr>
        <w:t xml:space="preserve"> wind and solar generation</w:t>
      </w:r>
      <w:r w:rsidR="000B6CED" w:rsidRPr="001B60F8">
        <w:rPr>
          <w:rFonts w:cstheme="minorHAnsi"/>
        </w:rPr>
        <w:t>, we think a new approach is not only warranted, but necessary.</w:t>
      </w:r>
      <w:r w:rsidR="00B71313" w:rsidRPr="001B60F8">
        <w:rPr>
          <w:rFonts w:cstheme="minorHAnsi"/>
        </w:rPr>
        <w:t xml:space="preserve"> </w:t>
      </w:r>
      <w:r w:rsidR="00912520" w:rsidRPr="001B60F8">
        <w:rPr>
          <w:rFonts w:cstheme="minorHAnsi"/>
        </w:rPr>
        <w:t xml:space="preserve">Novelty alone should not be an obstacle for Texas. </w:t>
      </w:r>
      <w:r w:rsidR="00B71313" w:rsidRPr="001B60F8">
        <w:rPr>
          <w:rFonts w:cstheme="minorHAnsi"/>
        </w:rPr>
        <w:t xml:space="preserve">However, implementation time is critical given the potential of new federal rules that could quickly shutter more than half the existing coal generation and several GW of gas generation in the ERCOT market. Also, regulatory </w:t>
      </w:r>
      <w:r w:rsidR="00912520" w:rsidRPr="001B60F8">
        <w:rPr>
          <w:rFonts w:cstheme="minorHAnsi"/>
        </w:rPr>
        <w:t>certainty is important for driving investment.</w:t>
      </w:r>
      <w:r w:rsidR="00B71313" w:rsidRPr="001B60F8">
        <w:rPr>
          <w:rFonts w:cstheme="minorHAnsi"/>
        </w:rPr>
        <w:t xml:space="preserve"> Therefore, time is of the essence in implementing any changes, including the PCM.</w:t>
      </w:r>
      <w:r w:rsidR="00CC06AD" w:rsidRPr="001B60F8">
        <w:rPr>
          <w:rFonts w:cstheme="minorHAnsi"/>
        </w:rPr>
        <w:t xml:space="preserve"> At the same time, </w:t>
      </w:r>
      <w:r w:rsidR="006F4F38" w:rsidRPr="001B60F8">
        <w:rPr>
          <w:rFonts w:cstheme="minorHAnsi"/>
        </w:rPr>
        <w:t>such</w:t>
      </w:r>
      <w:r w:rsidR="00CC06AD" w:rsidRPr="001B60F8">
        <w:rPr>
          <w:rFonts w:cstheme="minorHAnsi"/>
        </w:rPr>
        <w:t xml:space="preserve"> changes should be </w:t>
      </w:r>
      <w:r w:rsidR="00E76D9D" w:rsidRPr="001B60F8">
        <w:rPr>
          <w:rFonts w:cstheme="minorHAnsi"/>
        </w:rPr>
        <w:t xml:space="preserve">designed for the long-term and </w:t>
      </w:r>
      <w:r w:rsidR="006F4F38" w:rsidRPr="001B60F8">
        <w:rPr>
          <w:rFonts w:cstheme="minorHAnsi"/>
        </w:rPr>
        <w:t xml:space="preserve">help </w:t>
      </w:r>
      <w:r w:rsidR="00E76D9D" w:rsidRPr="001B60F8">
        <w:rPr>
          <w:rFonts w:cstheme="minorHAnsi"/>
        </w:rPr>
        <w:t>ensure market stability.</w:t>
      </w:r>
    </w:p>
    <w:p w14:paraId="27EA0AA9" w14:textId="77777777" w:rsidR="00337E39" w:rsidRPr="001B60F8" w:rsidRDefault="00337E39" w:rsidP="001B60F8">
      <w:pPr>
        <w:pStyle w:val="ListParagraph"/>
        <w:spacing w:after="0" w:line="240" w:lineRule="auto"/>
        <w:rPr>
          <w:rFonts w:cstheme="minorHAnsi"/>
          <w:i/>
          <w:iCs/>
        </w:rPr>
      </w:pPr>
    </w:p>
    <w:p w14:paraId="7CA7E716" w14:textId="45CA4DD7"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Would the PCM design incentivize generation performance, retention, and market entry consistent with the Legislature’s and the commission’s goal to meet demand during times of net peak load and extreme power consumption conditions? Why or why not?</w:t>
      </w:r>
    </w:p>
    <w:p w14:paraId="32E93841" w14:textId="77777777" w:rsidR="00084B1B" w:rsidRPr="001B60F8" w:rsidRDefault="00084B1B" w:rsidP="001B60F8">
      <w:pPr>
        <w:pStyle w:val="ListParagraph"/>
        <w:spacing w:after="0" w:line="240" w:lineRule="auto"/>
        <w:rPr>
          <w:rFonts w:cstheme="minorHAnsi"/>
          <w:i/>
          <w:iCs/>
        </w:rPr>
      </w:pPr>
    </w:p>
    <w:p w14:paraId="41C6FE2A" w14:textId="12A6E740" w:rsidR="006369DF" w:rsidRPr="001B60F8" w:rsidRDefault="00BF1D01" w:rsidP="001B60F8">
      <w:pPr>
        <w:pStyle w:val="ListParagraph"/>
        <w:spacing w:after="0" w:line="240" w:lineRule="auto"/>
        <w:rPr>
          <w:rFonts w:cstheme="minorHAnsi"/>
        </w:rPr>
      </w:pPr>
      <w:r w:rsidRPr="001B60F8">
        <w:rPr>
          <w:rFonts w:cstheme="minorHAnsi"/>
        </w:rPr>
        <w:lastRenderedPageBreak/>
        <w:t xml:space="preserve">Referencing our comments above, we think that the PCM design </w:t>
      </w:r>
      <w:r w:rsidR="009E103D" w:rsidRPr="001B60F8">
        <w:rPr>
          <w:rFonts w:cstheme="minorHAnsi"/>
        </w:rPr>
        <w:t xml:space="preserve">could meet these goals with proper eligibility </w:t>
      </w:r>
      <w:r w:rsidR="00C800FE" w:rsidRPr="001B60F8">
        <w:rPr>
          <w:rFonts w:cstheme="minorHAnsi"/>
        </w:rPr>
        <w:t xml:space="preserve">requirements focused </w:t>
      </w:r>
      <w:r w:rsidR="00A269BC" w:rsidRPr="001B60F8">
        <w:rPr>
          <w:rFonts w:cstheme="minorHAnsi"/>
        </w:rPr>
        <w:t>on</w:t>
      </w:r>
      <w:r w:rsidR="00C800FE" w:rsidRPr="001B60F8">
        <w:rPr>
          <w:rFonts w:cstheme="minorHAnsi"/>
        </w:rPr>
        <w:t xml:space="preserve"> meeting demand </w:t>
      </w:r>
      <w:r w:rsidR="0009134B" w:rsidRPr="001B60F8">
        <w:rPr>
          <w:rFonts w:cstheme="minorHAnsi"/>
        </w:rPr>
        <w:t>during times of net peak load.</w:t>
      </w:r>
      <w:r w:rsidR="009E103D" w:rsidRPr="001B60F8">
        <w:rPr>
          <w:rFonts w:cstheme="minorHAnsi"/>
        </w:rPr>
        <w:t xml:space="preserve"> However, absent proper cost allocation</w:t>
      </w:r>
      <w:r w:rsidR="00E30A0C" w:rsidRPr="001B60F8">
        <w:rPr>
          <w:rFonts w:cstheme="minorHAnsi"/>
        </w:rPr>
        <w:t xml:space="preserve"> to generators</w:t>
      </w:r>
      <w:r w:rsidR="009E103D" w:rsidRPr="001B60F8">
        <w:rPr>
          <w:rFonts w:cstheme="minorHAnsi"/>
        </w:rPr>
        <w:t xml:space="preserve">, the PCM will likely fail to impose </w:t>
      </w:r>
      <w:r w:rsidR="00C800FE" w:rsidRPr="001B60F8">
        <w:rPr>
          <w:rFonts w:cstheme="minorHAnsi"/>
        </w:rPr>
        <w:t xml:space="preserve">discipline on wind and solar </w:t>
      </w:r>
      <w:r w:rsidR="0009134B" w:rsidRPr="001B60F8">
        <w:rPr>
          <w:rFonts w:cstheme="minorHAnsi"/>
        </w:rPr>
        <w:t>generation in ERCOT</w:t>
      </w:r>
      <w:r w:rsidR="00E30A0C" w:rsidRPr="001B60F8">
        <w:rPr>
          <w:rFonts w:cstheme="minorHAnsi"/>
        </w:rPr>
        <w:t xml:space="preserve">, which means that </w:t>
      </w:r>
      <w:r w:rsidR="00E4124E" w:rsidRPr="001B60F8">
        <w:rPr>
          <w:rFonts w:cstheme="minorHAnsi"/>
        </w:rPr>
        <w:t>dispatchable generators will increasingly rely on the PCM for revenue.</w:t>
      </w:r>
      <w:r w:rsidR="00C800FE" w:rsidRPr="001B60F8">
        <w:rPr>
          <w:rFonts w:cstheme="minorHAnsi"/>
        </w:rPr>
        <w:t xml:space="preserve"> </w:t>
      </w:r>
      <w:r w:rsidR="00BE0E2B" w:rsidRPr="001B60F8">
        <w:rPr>
          <w:rFonts w:cstheme="minorHAnsi"/>
        </w:rPr>
        <w:t>In this case, the</w:t>
      </w:r>
      <w:r w:rsidR="00C800FE" w:rsidRPr="001B60F8">
        <w:rPr>
          <w:rFonts w:cstheme="minorHAnsi"/>
        </w:rPr>
        <w:t xml:space="preserve"> market</w:t>
      </w:r>
      <w:r w:rsidR="00084B1B" w:rsidRPr="001B60F8">
        <w:rPr>
          <w:rFonts w:cstheme="minorHAnsi"/>
        </w:rPr>
        <w:t xml:space="preserve"> </w:t>
      </w:r>
      <w:r w:rsidR="00BE0E2B" w:rsidRPr="001B60F8">
        <w:rPr>
          <w:rFonts w:cstheme="minorHAnsi"/>
        </w:rPr>
        <w:t xml:space="preserve">will be </w:t>
      </w:r>
      <w:r w:rsidR="00084B1B" w:rsidRPr="001B60F8">
        <w:rPr>
          <w:rFonts w:cstheme="minorHAnsi"/>
        </w:rPr>
        <w:t xml:space="preserve">in a constant state of “chasing its tail” as it works to maintain enough </w:t>
      </w:r>
      <w:r w:rsidR="00C96B79" w:rsidRPr="001B60F8">
        <w:rPr>
          <w:rFonts w:cstheme="minorHAnsi"/>
        </w:rPr>
        <w:t xml:space="preserve">dispatchable generation, operating for fewer hours at higher cost every year, </w:t>
      </w:r>
      <w:r w:rsidR="00BE0E2B" w:rsidRPr="001B60F8">
        <w:rPr>
          <w:rFonts w:cstheme="minorHAnsi"/>
        </w:rPr>
        <w:t xml:space="preserve">to </w:t>
      </w:r>
      <w:r w:rsidR="0050601B">
        <w:rPr>
          <w:rFonts w:cstheme="minorHAnsi"/>
        </w:rPr>
        <w:t>back up</w:t>
      </w:r>
      <w:r w:rsidR="00BE0E2B" w:rsidRPr="001B60F8">
        <w:rPr>
          <w:rFonts w:cstheme="minorHAnsi"/>
        </w:rPr>
        <w:t xml:space="preserve"> wind and solar generat</w:t>
      </w:r>
      <w:r w:rsidR="00987A0C">
        <w:rPr>
          <w:rFonts w:cstheme="minorHAnsi"/>
        </w:rPr>
        <w:t>ors</w:t>
      </w:r>
      <w:r w:rsidR="00DC380B">
        <w:rPr>
          <w:rFonts w:cstheme="minorHAnsi"/>
        </w:rPr>
        <w:t>, causing overall system costs to rise considerably.</w:t>
      </w:r>
    </w:p>
    <w:p w14:paraId="528D4B5C" w14:textId="77777777" w:rsidR="006369DF" w:rsidRPr="001B60F8" w:rsidRDefault="006369DF" w:rsidP="001B60F8">
      <w:pPr>
        <w:pStyle w:val="ListParagraph"/>
        <w:spacing w:after="0" w:line="240" w:lineRule="auto"/>
        <w:rPr>
          <w:rFonts w:cstheme="minorHAnsi"/>
          <w:i/>
          <w:iCs/>
        </w:rPr>
      </w:pPr>
    </w:p>
    <w:p w14:paraId="50592091" w14:textId="2BFA8B9A"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What is the appropriate reliability standard to achieve the goals stated in Question 2? Is 1-in-10 loss of load expectation (LOLE) a reasonable standard to set, or should another standard be used, such as expected unserved energy (EUE). If recommending a different standard, at what level should the standard be set (e.g., how many MWh of EUE per year)?</w:t>
      </w:r>
    </w:p>
    <w:p w14:paraId="17D7332B" w14:textId="77777777" w:rsidR="007D5456" w:rsidRDefault="007D5456" w:rsidP="001B60F8">
      <w:pPr>
        <w:spacing w:after="0" w:line="240" w:lineRule="auto"/>
        <w:ind w:left="720"/>
        <w:rPr>
          <w:rFonts w:cstheme="minorHAnsi"/>
        </w:rPr>
      </w:pPr>
    </w:p>
    <w:p w14:paraId="5EA882A6" w14:textId="5E067C68" w:rsidR="004818AF" w:rsidRDefault="000C4878" w:rsidP="001B60F8">
      <w:pPr>
        <w:spacing w:after="0" w:line="240" w:lineRule="auto"/>
        <w:ind w:left="720"/>
        <w:rPr>
          <w:rFonts w:cstheme="minorHAnsi"/>
        </w:rPr>
      </w:pPr>
      <w:r w:rsidRPr="001B60F8">
        <w:rPr>
          <w:rFonts w:cstheme="minorHAnsi"/>
        </w:rPr>
        <w:t>The challenge with a 1</w:t>
      </w:r>
      <w:r w:rsidR="004E1A92" w:rsidRPr="001B60F8">
        <w:rPr>
          <w:rFonts w:cstheme="minorHAnsi"/>
        </w:rPr>
        <w:t xml:space="preserve">-in-10 standard is that it doesn’t properly capture the </w:t>
      </w:r>
      <w:r w:rsidR="004E1A92" w:rsidRPr="00400313">
        <w:rPr>
          <w:rFonts w:cstheme="minorHAnsi"/>
        </w:rPr>
        <w:t>duration and depth</w:t>
      </w:r>
      <w:r w:rsidR="004E1A92" w:rsidRPr="001B60F8">
        <w:rPr>
          <w:rFonts w:cstheme="minorHAnsi"/>
        </w:rPr>
        <w:t xml:space="preserve"> of a loss of load event.</w:t>
      </w:r>
      <w:r w:rsidR="002B0000">
        <w:rPr>
          <w:rFonts w:cstheme="minorHAnsi"/>
        </w:rPr>
        <w:t xml:space="preserve"> A loss of load event every year </w:t>
      </w:r>
      <w:r w:rsidR="002736FA">
        <w:rPr>
          <w:rFonts w:cstheme="minorHAnsi"/>
        </w:rPr>
        <w:t xml:space="preserve">will do little </w:t>
      </w:r>
      <w:r w:rsidR="00704B67">
        <w:rPr>
          <w:rFonts w:cstheme="minorHAnsi"/>
        </w:rPr>
        <w:t>harm</w:t>
      </w:r>
      <w:r w:rsidR="002736FA">
        <w:rPr>
          <w:rFonts w:cstheme="minorHAnsi"/>
        </w:rPr>
        <w:t xml:space="preserve"> if it lasts for only a couple hours and involves only a few </w:t>
      </w:r>
      <w:r w:rsidR="009F4AE8">
        <w:rPr>
          <w:rFonts w:cstheme="minorHAnsi"/>
        </w:rPr>
        <w:t>GW</w:t>
      </w:r>
      <w:r w:rsidR="002736FA">
        <w:rPr>
          <w:rFonts w:cstheme="minorHAnsi"/>
        </w:rPr>
        <w:t xml:space="preserve">. </w:t>
      </w:r>
      <w:r w:rsidR="00704B67">
        <w:rPr>
          <w:rFonts w:cstheme="minorHAnsi"/>
        </w:rPr>
        <w:t xml:space="preserve">Ratepayers are accustomed to brief outages from equipment failures, tree branches, etc. </w:t>
      </w:r>
      <w:r w:rsidR="002736FA">
        <w:rPr>
          <w:rFonts w:cstheme="minorHAnsi"/>
        </w:rPr>
        <w:t xml:space="preserve">But </w:t>
      </w:r>
      <w:r w:rsidR="009F4AE8">
        <w:rPr>
          <w:rFonts w:cstheme="minorHAnsi"/>
        </w:rPr>
        <w:t xml:space="preserve">a 20 GW loss of load event, as occurred during Winter Storm Uri, over </w:t>
      </w:r>
      <w:r w:rsidR="00704B67">
        <w:rPr>
          <w:rFonts w:cstheme="minorHAnsi"/>
        </w:rPr>
        <w:t xml:space="preserve">a full day or consecutive days, is </w:t>
      </w:r>
      <w:r w:rsidR="00EC6CAD">
        <w:rPr>
          <w:rFonts w:cstheme="minorHAnsi"/>
        </w:rPr>
        <w:t>unacceptable</w:t>
      </w:r>
      <w:r w:rsidR="00400313">
        <w:rPr>
          <w:rFonts w:cstheme="minorHAnsi"/>
        </w:rPr>
        <w:t>, even if it only occurs once every 10 years.</w:t>
      </w:r>
    </w:p>
    <w:p w14:paraId="4E738A05" w14:textId="77777777" w:rsidR="004818AF" w:rsidRDefault="004818AF" w:rsidP="001B60F8">
      <w:pPr>
        <w:spacing w:after="0" w:line="240" w:lineRule="auto"/>
        <w:ind w:left="720"/>
        <w:rPr>
          <w:rFonts w:cstheme="minorHAnsi"/>
        </w:rPr>
      </w:pPr>
    </w:p>
    <w:p w14:paraId="68A24F64" w14:textId="007F1C80" w:rsidR="00DA2431" w:rsidRDefault="004818AF" w:rsidP="0037114C">
      <w:pPr>
        <w:spacing w:after="0" w:line="240" w:lineRule="auto"/>
        <w:ind w:left="720"/>
        <w:rPr>
          <w:rFonts w:cstheme="minorHAnsi"/>
        </w:rPr>
      </w:pPr>
      <w:r>
        <w:rPr>
          <w:rFonts w:cstheme="minorHAnsi"/>
        </w:rPr>
        <w:t>For example, t</w:t>
      </w:r>
      <w:r w:rsidR="006F133A">
        <w:rPr>
          <w:rFonts w:cstheme="minorHAnsi"/>
        </w:rPr>
        <w:t xml:space="preserve">he E3 report notes a </w:t>
      </w:r>
      <w:r>
        <w:rPr>
          <w:rFonts w:cstheme="minorHAnsi"/>
        </w:rPr>
        <w:t xml:space="preserve">13% probability of </w:t>
      </w:r>
      <w:r w:rsidR="0013499E">
        <w:rPr>
          <w:rFonts w:cstheme="minorHAnsi"/>
        </w:rPr>
        <w:t xml:space="preserve">10 or more hours </w:t>
      </w:r>
      <w:r w:rsidR="00A14492">
        <w:rPr>
          <w:rFonts w:cstheme="minorHAnsi"/>
        </w:rPr>
        <w:t xml:space="preserve">of lost load under </w:t>
      </w:r>
      <w:r w:rsidR="00A128B7">
        <w:rPr>
          <w:rFonts w:cstheme="minorHAnsi"/>
        </w:rPr>
        <w:t>the existing energy</w:t>
      </w:r>
      <w:r w:rsidR="00A47E96">
        <w:rPr>
          <w:rFonts w:cstheme="minorHAnsi"/>
        </w:rPr>
        <w:t>-</w:t>
      </w:r>
      <w:r w:rsidR="00A128B7">
        <w:rPr>
          <w:rFonts w:cstheme="minorHAnsi"/>
        </w:rPr>
        <w:t>only market</w:t>
      </w:r>
      <w:r w:rsidR="0013499E">
        <w:rPr>
          <w:rFonts w:cstheme="minorHAnsi"/>
        </w:rPr>
        <w:t xml:space="preserve">. If those hours occurred </w:t>
      </w:r>
      <w:r w:rsidR="00A128B7">
        <w:rPr>
          <w:rFonts w:cstheme="minorHAnsi"/>
        </w:rPr>
        <w:t>non</w:t>
      </w:r>
      <w:r w:rsidR="0013499E">
        <w:rPr>
          <w:rFonts w:cstheme="minorHAnsi"/>
        </w:rPr>
        <w:t xml:space="preserve">consecutively, </w:t>
      </w:r>
      <w:r w:rsidR="00A128B7">
        <w:rPr>
          <w:rFonts w:cstheme="minorHAnsi"/>
        </w:rPr>
        <w:t>that</w:t>
      </w:r>
      <w:r w:rsidR="00045D9C">
        <w:rPr>
          <w:rFonts w:cstheme="minorHAnsi"/>
        </w:rPr>
        <w:t xml:space="preserve"> situation</w:t>
      </w:r>
      <w:r w:rsidR="0013499E">
        <w:rPr>
          <w:rFonts w:cstheme="minorHAnsi"/>
        </w:rPr>
        <w:t xml:space="preserve"> </w:t>
      </w:r>
      <w:r w:rsidR="00A128B7">
        <w:rPr>
          <w:rFonts w:cstheme="minorHAnsi"/>
        </w:rPr>
        <w:t xml:space="preserve">might be tolerable, </w:t>
      </w:r>
      <w:r w:rsidR="00045D9C">
        <w:rPr>
          <w:rFonts w:cstheme="minorHAnsi"/>
        </w:rPr>
        <w:t>but if they occurred consecutively, it would be a disaster.</w:t>
      </w:r>
      <w:r w:rsidR="00AC18E8">
        <w:rPr>
          <w:rFonts w:cstheme="minorHAnsi"/>
        </w:rPr>
        <w:t xml:space="preserve"> </w:t>
      </w:r>
      <w:r w:rsidR="0044654D">
        <w:rPr>
          <w:rFonts w:cstheme="minorHAnsi"/>
        </w:rPr>
        <w:t xml:space="preserve">Even if </w:t>
      </w:r>
      <w:r w:rsidR="00F2140D">
        <w:rPr>
          <w:rFonts w:cstheme="minorHAnsi"/>
        </w:rPr>
        <w:t>t</w:t>
      </w:r>
      <w:r w:rsidR="0044654D">
        <w:rPr>
          <w:rFonts w:cstheme="minorHAnsi"/>
        </w:rPr>
        <w:t xml:space="preserve">here were no </w:t>
      </w:r>
      <w:r w:rsidR="00C06F76">
        <w:rPr>
          <w:rFonts w:cstheme="minorHAnsi"/>
        </w:rPr>
        <w:t>weather-related</w:t>
      </w:r>
      <w:r w:rsidR="0044654D">
        <w:rPr>
          <w:rFonts w:cstheme="minorHAnsi"/>
        </w:rPr>
        <w:t xml:space="preserve"> failures during Winter Storm Uri</w:t>
      </w:r>
      <w:r w:rsidR="00F2140D">
        <w:rPr>
          <w:rFonts w:cstheme="minorHAnsi"/>
        </w:rPr>
        <w:t xml:space="preserve">, </w:t>
      </w:r>
      <w:r w:rsidR="005937B2">
        <w:rPr>
          <w:rFonts w:cstheme="minorHAnsi"/>
        </w:rPr>
        <w:t xml:space="preserve">loss of load would have occurred for nearly 24 hours and </w:t>
      </w:r>
      <w:r w:rsidR="00A269BC">
        <w:rPr>
          <w:rFonts w:cstheme="minorHAnsi"/>
        </w:rPr>
        <w:t>peaked at almost</w:t>
      </w:r>
      <w:r w:rsidR="005937B2">
        <w:rPr>
          <w:rFonts w:cstheme="minorHAnsi"/>
        </w:rPr>
        <w:t xml:space="preserve"> 10 GW</w:t>
      </w:r>
      <w:r w:rsidR="00A47E96">
        <w:rPr>
          <w:rFonts w:cstheme="minorHAnsi"/>
        </w:rPr>
        <w:t>.</w:t>
      </w:r>
      <w:r w:rsidR="00A269BC">
        <w:rPr>
          <w:rStyle w:val="FootnoteReference"/>
          <w:rFonts w:cstheme="minorHAnsi"/>
        </w:rPr>
        <w:footnoteReference w:id="13"/>
      </w:r>
      <w:r w:rsidR="003D536E">
        <w:rPr>
          <w:rFonts w:cstheme="minorHAnsi"/>
        </w:rPr>
        <w:t xml:space="preserve"> Every thermal generator in ERCOT would have had to operate to near perfection to avoid </w:t>
      </w:r>
      <w:r w:rsidR="00DA2431">
        <w:rPr>
          <w:rFonts w:cstheme="minorHAnsi"/>
        </w:rPr>
        <w:t>a loss of load</w:t>
      </w:r>
      <w:r w:rsidR="003D536E">
        <w:rPr>
          <w:rFonts w:cstheme="minorHAnsi"/>
        </w:rPr>
        <w:t xml:space="preserve">, </w:t>
      </w:r>
      <w:r w:rsidR="0047062D">
        <w:rPr>
          <w:rFonts w:cstheme="minorHAnsi"/>
        </w:rPr>
        <w:t>with no</w:t>
      </w:r>
      <w:r w:rsidR="00DA2431">
        <w:rPr>
          <w:rFonts w:cstheme="minorHAnsi"/>
        </w:rPr>
        <w:t xml:space="preserve"> planned or forced outages</w:t>
      </w:r>
      <w:r w:rsidR="00EB1A3B">
        <w:rPr>
          <w:rFonts w:cstheme="minorHAnsi"/>
        </w:rPr>
        <w:t xml:space="preserve">, </w:t>
      </w:r>
      <w:r w:rsidR="00A40DA0">
        <w:rPr>
          <w:rFonts w:cstheme="minorHAnsi"/>
        </w:rPr>
        <w:t xml:space="preserve">and such perfection cannot be expected. </w:t>
      </w:r>
      <w:r w:rsidR="00B02145">
        <w:rPr>
          <w:rFonts w:cstheme="minorHAnsi"/>
        </w:rPr>
        <w:t>It would be prohibitively expensive to ensure no</w:t>
      </w:r>
      <w:r w:rsidR="00A40DA0">
        <w:rPr>
          <w:rFonts w:cstheme="minorHAnsi"/>
        </w:rPr>
        <w:t xml:space="preserve"> loss of load during a storm like Winter</w:t>
      </w:r>
      <w:r w:rsidR="00EB1A3B">
        <w:rPr>
          <w:rFonts w:cstheme="minorHAnsi"/>
        </w:rPr>
        <w:t xml:space="preserve"> </w:t>
      </w:r>
      <w:r w:rsidR="00B02145">
        <w:rPr>
          <w:rFonts w:cstheme="minorHAnsi"/>
        </w:rPr>
        <w:t xml:space="preserve">Storm Uri, </w:t>
      </w:r>
      <w:r w:rsidR="00EB1A3B">
        <w:rPr>
          <w:rFonts w:cstheme="minorHAnsi"/>
        </w:rPr>
        <w:t>but the current situation is not acceptable.</w:t>
      </w:r>
    </w:p>
    <w:p w14:paraId="0512AD23" w14:textId="77777777" w:rsidR="00DA2431" w:rsidRDefault="00DA2431" w:rsidP="0037114C">
      <w:pPr>
        <w:spacing w:after="0" w:line="240" w:lineRule="auto"/>
        <w:ind w:left="720"/>
        <w:rPr>
          <w:rFonts w:cstheme="minorHAnsi"/>
        </w:rPr>
      </w:pPr>
    </w:p>
    <w:p w14:paraId="79C23F66" w14:textId="19767AA6" w:rsidR="000C4878" w:rsidRPr="0037114C" w:rsidRDefault="0072326F" w:rsidP="0037114C">
      <w:pPr>
        <w:spacing w:after="0" w:line="240" w:lineRule="auto"/>
        <w:ind w:left="720"/>
        <w:rPr>
          <w:rFonts w:cstheme="minorHAnsi"/>
        </w:rPr>
      </w:pPr>
      <w:r>
        <w:rPr>
          <w:rFonts w:cstheme="minorHAnsi"/>
        </w:rPr>
        <w:t>E</w:t>
      </w:r>
      <w:r w:rsidR="00851C2C">
        <w:rPr>
          <w:rFonts w:cstheme="minorHAnsi"/>
        </w:rPr>
        <w:t xml:space="preserve">ven after the reforms that have been enacted following </w:t>
      </w:r>
      <w:r w:rsidR="00DA2431">
        <w:rPr>
          <w:rFonts w:cstheme="minorHAnsi"/>
        </w:rPr>
        <w:t xml:space="preserve">Winter Storm Uri, </w:t>
      </w:r>
      <w:r w:rsidRPr="0072326F">
        <w:rPr>
          <w:rFonts w:cstheme="minorHAnsi"/>
        </w:rPr>
        <w:t xml:space="preserve">a similar weather event would </w:t>
      </w:r>
      <w:r w:rsidR="00DA2431">
        <w:rPr>
          <w:rFonts w:cstheme="minorHAnsi"/>
        </w:rPr>
        <w:t xml:space="preserve">still </w:t>
      </w:r>
      <w:r w:rsidRPr="0072326F">
        <w:rPr>
          <w:rFonts w:cstheme="minorHAnsi"/>
        </w:rPr>
        <w:t>bring a</w:t>
      </w:r>
      <w:r w:rsidR="00EB1A3B">
        <w:rPr>
          <w:rFonts w:cstheme="minorHAnsi"/>
        </w:rPr>
        <w:t xml:space="preserve">n unacceptable </w:t>
      </w:r>
      <w:r w:rsidRPr="0072326F">
        <w:rPr>
          <w:rFonts w:cstheme="minorHAnsi"/>
        </w:rPr>
        <w:t>amount of lost load</w:t>
      </w:r>
      <w:r w:rsidR="00851C2C">
        <w:rPr>
          <w:rFonts w:cstheme="minorHAnsi"/>
        </w:rPr>
        <w:t>.</w:t>
      </w:r>
      <w:r>
        <w:rPr>
          <w:rFonts w:cstheme="minorHAnsi"/>
        </w:rPr>
        <w:t xml:space="preserve"> And as the proportion of dispatchable capacity declines on the system, less extreme weather will result in similar outcomes.</w:t>
      </w:r>
      <w:r w:rsidR="00FD033A">
        <w:rPr>
          <w:rFonts w:cstheme="minorHAnsi"/>
        </w:rPr>
        <w:t xml:space="preserve"> Therefore, </w:t>
      </w:r>
      <w:r w:rsidR="0002234D">
        <w:rPr>
          <w:rFonts w:cstheme="minorHAnsi"/>
        </w:rPr>
        <w:t>any</w:t>
      </w:r>
      <w:r w:rsidR="00FD033A">
        <w:rPr>
          <w:rFonts w:cstheme="minorHAnsi"/>
        </w:rPr>
        <w:t xml:space="preserve"> reliability standard</w:t>
      </w:r>
      <w:r w:rsidR="0002234D">
        <w:rPr>
          <w:rFonts w:cstheme="minorHAnsi"/>
        </w:rPr>
        <w:t xml:space="preserve"> that is adopted should address the depth and duration of a load event in addition to the frequency</w:t>
      </w:r>
      <w:r w:rsidR="00F63603">
        <w:rPr>
          <w:rFonts w:cstheme="minorHAnsi"/>
        </w:rPr>
        <w:t xml:space="preserve"> and be targeted </w:t>
      </w:r>
      <w:r w:rsidR="00E771CA">
        <w:rPr>
          <w:rFonts w:cstheme="minorHAnsi"/>
        </w:rPr>
        <w:t>toward reducing the probability of a large loss of load event</w:t>
      </w:r>
      <w:r w:rsidR="00922129">
        <w:rPr>
          <w:rFonts w:cstheme="minorHAnsi"/>
        </w:rPr>
        <w:t xml:space="preserve"> over multiple consecutive hours</w:t>
      </w:r>
      <w:r w:rsidR="00E771CA">
        <w:rPr>
          <w:rFonts w:cstheme="minorHAnsi"/>
        </w:rPr>
        <w:t>.</w:t>
      </w:r>
    </w:p>
    <w:p w14:paraId="3A95B47E" w14:textId="77777777" w:rsidR="000C4878" w:rsidRPr="001B60F8" w:rsidRDefault="000C4878" w:rsidP="001B60F8">
      <w:pPr>
        <w:spacing w:after="0" w:line="240" w:lineRule="auto"/>
        <w:rPr>
          <w:rFonts w:cstheme="minorHAnsi"/>
        </w:rPr>
      </w:pPr>
    </w:p>
    <w:p w14:paraId="064331F9" w14:textId="7D190219"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The E3 report examines 30 hours of highest reliability risk over a year. Is 30 the appropriate number of hours for this purpose? Should the reliability risk focus on a different measure?</w:t>
      </w:r>
    </w:p>
    <w:p w14:paraId="623EB351" w14:textId="77777777" w:rsidR="00E4124E" w:rsidRPr="001B60F8" w:rsidRDefault="00E4124E" w:rsidP="001B60F8">
      <w:pPr>
        <w:pStyle w:val="ListParagraph"/>
        <w:spacing w:after="0" w:line="240" w:lineRule="auto"/>
        <w:rPr>
          <w:rFonts w:cstheme="minorHAnsi"/>
        </w:rPr>
      </w:pPr>
    </w:p>
    <w:p w14:paraId="5B8BBEE8" w14:textId="7E102B4E" w:rsidR="008F0262" w:rsidRPr="001B60F8" w:rsidRDefault="008F0262" w:rsidP="001B60F8">
      <w:pPr>
        <w:pStyle w:val="ListParagraph"/>
        <w:spacing w:after="0" w:line="240" w:lineRule="auto"/>
        <w:rPr>
          <w:rFonts w:cstheme="minorHAnsi"/>
        </w:rPr>
      </w:pPr>
      <w:r w:rsidRPr="001B60F8">
        <w:rPr>
          <w:rFonts w:cstheme="minorHAnsi"/>
        </w:rPr>
        <w:t xml:space="preserve">Given the </w:t>
      </w:r>
      <w:r w:rsidR="001B16B0">
        <w:rPr>
          <w:rFonts w:cstheme="minorHAnsi"/>
        </w:rPr>
        <w:t xml:space="preserve">high variability of a </w:t>
      </w:r>
      <w:r w:rsidR="00A907D6">
        <w:rPr>
          <w:rFonts w:cstheme="minorHAnsi"/>
        </w:rPr>
        <w:t xml:space="preserve">market with large amounts of </w:t>
      </w:r>
      <w:r w:rsidR="00822834">
        <w:rPr>
          <w:rFonts w:cstheme="minorHAnsi"/>
        </w:rPr>
        <w:t>wind and solar generation,</w:t>
      </w:r>
      <w:r w:rsidR="00A907D6">
        <w:rPr>
          <w:rFonts w:cstheme="minorHAnsi"/>
        </w:rPr>
        <w:t xml:space="preserve"> we think 30 hours per year is probably not enough, even if properly targeted toward </w:t>
      </w:r>
      <w:r w:rsidR="002E24B7">
        <w:rPr>
          <w:rFonts w:cstheme="minorHAnsi"/>
        </w:rPr>
        <w:t xml:space="preserve">the highest </w:t>
      </w:r>
      <w:r w:rsidR="00A907D6">
        <w:rPr>
          <w:rFonts w:cstheme="minorHAnsi"/>
        </w:rPr>
        <w:t>net peak load</w:t>
      </w:r>
      <w:r w:rsidR="002E24B7">
        <w:rPr>
          <w:rFonts w:cstheme="minorHAnsi"/>
        </w:rPr>
        <w:t xml:space="preserve"> hours. Capturing </w:t>
      </w:r>
      <w:r w:rsidR="0054360B">
        <w:rPr>
          <w:rFonts w:cstheme="minorHAnsi"/>
        </w:rPr>
        <w:t>an appropriate share of the potential risk scenarios</w:t>
      </w:r>
      <w:r w:rsidR="002E24B7">
        <w:rPr>
          <w:rFonts w:cstheme="minorHAnsi"/>
        </w:rPr>
        <w:t xml:space="preserve"> would probably require </w:t>
      </w:r>
      <w:r w:rsidR="0054360B">
        <w:rPr>
          <w:rFonts w:cstheme="minorHAnsi"/>
        </w:rPr>
        <w:t xml:space="preserve">factoring in </w:t>
      </w:r>
      <w:r w:rsidR="00864510">
        <w:rPr>
          <w:rFonts w:cstheme="minorHAnsi"/>
        </w:rPr>
        <w:t xml:space="preserve">at least </w:t>
      </w:r>
      <w:r w:rsidR="002E24B7">
        <w:rPr>
          <w:rFonts w:cstheme="minorHAnsi"/>
        </w:rPr>
        <w:t xml:space="preserve">100 hours </w:t>
      </w:r>
      <w:r w:rsidR="0054360B">
        <w:rPr>
          <w:rFonts w:cstheme="minorHAnsi"/>
        </w:rPr>
        <w:t>each year.</w:t>
      </w:r>
    </w:p>
    <w:p w14:paraId="583E3216" w14:textId="77777777" w:rsidR="008F0262" w:rsidRPr="001B60F8" w:rsidRDefault="008F0262" w:rsidP="001B60F8">
      <w:pPr>
        <w:pStyle w:val="ListParagraph"/>
        <w:spacing w:after="0" w:line="240" w:lineRule="auto"/>
        <w:rPr>
          <w:rFonts w:cstheme="minorHAnsi"/>
          <w:i/>
          <w:iCs/>
        </w:rPr>
      </w:pPr>
    </w:p>
    <w:p w14:paraId="5AE0C205" w14:textId="2B68CC1C"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lastRenderedPageBreak/>
        <w:t>Over what period should the hours of highest reliability risk be determined? A year, a season, a month, or some other interval? At what point in time should that determination be made?</w:t>
      </w:r>
    </w:p>
    <w:p w14:paraId="153B460C" w14:textId="77777777" w:rsidR="008F0262" w:rsidRDefault="008F0262" w:rsidP="001B60F8">
      <w:pPr>
        <w:pStyle w:val="ListParagraph"/>
        <w:spacing w:after="0" w:line="240" w:lineRule="auto"/>
        <w:rPr>
          <w:rFonts w:cstheme="minorHAnsi"/>
        </w:rPr>
      </w:pPr>
    </w:p>
    <w:p w14:paraId="622BE514" w14:textId="6EDB5919" w:rsidR="008F0E8B" w:rsidRDefault="00D57303" w:rsidP="001B60F8">
      <w:pPr>
        <w:pStyle w:val="ListParagraph"/>
        <w:spacing w:after="0" w:line="240" w:lineRule="auto"/>
        <w:rPr>
          <w:rFonts w:cstheme="minorHAnsi"/>
        </w:rPr>
      </w:pPr>
      <w:r>
        <w:rPr>
          <w:rFonts w:cstheme="minorHAnsi"/>
        </w:rPr>
        <w:t xml:space="preserve">Looking at </w:t>
      </w:r>
      <w:r w:rsidR="00864510">
        <w:rPr>
          <w:rFonts w:cstheme="minorHAnsi"/>
        </w:rPr>
        <w:t xml:space="preserve">the </w:t>
      </w:r>
      <w:r>
        <w:rPr>
          <w:rFonts w:cstheme="minorHAnsi"/>
        </w:rPr>
        <w:t xml:space="preserve">100 hours </w:t>
      </w:r>
      <w:r w:rsidR="00864510">
        <w:rPr>
          <w:rFonts w:cstheme="minorHAnsi"/>
        </w:rPr>
        <w:t xml:space="preserve">of highest net peak load </w:t>
      </w:r>
      <w:r>
        <w:rPr>
          <w:rFonts w:cstheme="minorHAnsi"/>
        </w:rPr>
        <w:t>over an annual period appears to be a good start</w:t>
      </w:r>
      <w:r w:rsidR="00311CB4">
        <w:rPr>
          <w:rFonts w:cstheme="minorHAnsi"/>
        </w:rPr>
        <w:t>—</w:t>
      </w:r>
      <w:r>
        <w:rPr>
          <w:rFonts w:cstheme="minorHAnsi"/>
        </w:rPr>
        <w:t>based on resource adequacy modeling we’ve done for ERCOT, SPP, and MISO</w:t>
      </w:r>
      <w:r w:rsidR="00311CB4">
        <w:rPr>
          <w:rFonts w:cstheme="minorHAnsi"/>
        </w:rPr>
        <w:t>—</w:t>
      </w:r>
      <w:r>
        <w:rPr>
          <w:rFonts w:cstheme="minorHAnsi"/>
        </w:rPr>
        <w:t xml:space="preserve">but </w:t>
      </w:r>
      <w:r w:rsidR="008F0E8B">
        <w:rPr>
          <w:rFonts w:cstheme="minorHAnsi"/>
        </w:rPr>
        <w:t>some sensitivity analysis must be done in order to determine the best period.</w:t>
      </w:r>
      <w:r w:rsidR="005916D5">
        <w:rPr>
          <w:rFonts w:cstheme="minorHAnsi"/>
        </w:rPr>
        <w:t xml:space="preserve"> We also have some concern that a </w:t>
      </w:r>
      <w:r w:rsidR="00864510">
        <w:rPr>
          <w:rFonts w:cstheme="minorHAnsi"/>
        </w:rPr>
        <w:t>backward-looking</w:t>
      </w:r>
      <w:r w:rsidR="005916D5">
        <w:rPr>
          <w:rFonts w:cstheme="minorHAnsi"/>
        </w:rPr>
        <w:t xml:space="preserve"> </w:t>
      </w:r>
      <w:r w:rsidR="00BC51CF">
        <w:rPr>
          <w:rFonts w:cstheme="minorHAnsi"/>
        </w:rPr>
        <w:t>assessment may fail to capture the fact that</w:t>
      </w:r>
      <w:r>
        <w:rPr>
          <w:rFonts w:cstheme="minorHAnsi"/>
        </w:rPr>
        <w:t>,</w:t>
      </w:r>
      <w:r w:rsidR="00BC51CF">
        <w:rPr>
          <w:rFonts w:cstheme="minorHAnsi"/>
        </w:rPr>
        <w:t xml:space="preserve"> as the ERCOT market transitions to </w:t>
      </w:r>
      <w:r w:rsidR="00734102">
        <w:rPr>
          <w:rFonts w:cstheme="minorHAnsi"/>
        </w:rPr>
        <w:t>much higher solar penetration,</w:t>
      </w:r>
      <w:r w:rsidR="00BC51CF">
        <w:rPr>
          <w:rFonts w:cstheme="minorHAnsi"/>
        </w:rPr>
        <w:t xml:space="preserve"> </w:t>
      </w:r>
      <w:r w:rsidR="00F212AC">
        <w:rPr>
          <w:rFonts w:cstheme="minorHAnsi"/>
        </w:rPr>
        <w:t xml:space="preserve">as contemplated in the E3 report, </w:t>
      </w:r>
      <w:r w:rsidR="00BC51CF">
        <w:rPr>
          <w:rFonts w:cstheme="minorHAnsi"/>
        </w:rPr>
        <w:t>the periods of highest net peak load are likely to shift from the summer to the winter over the next several years.</w:t>
      </w:r>
    </w:p>
    <w:p w14:paraId="0909C9BF" w14:textId="77777777" w:rsidR="008F0E8B" w:rsidRPr="001B60F8" w:rsidRDefault="008F0E8B" w:rsidP="001B60F8">
      <w:pPr>
        <w:pStyle w:val="ListParagraph"/>
        <w:spacing w:after="0" w:line="240" w:lineRule="auto"/>
        <w:rPr>
          <w:rFonts w:cstheme="minorHAnsi"/>
        </w:rPr>
      </w:pPr>
    </w:p>
    <w:p w14:paraId="37456890" w14:textId="77777777" w:rsidR="001719E6" w:rsidRPr="001719E6" w:rsidRDefault="00B3088C" w:rsidP="001B60F8">
      <w:pPr>
        <w:pStyle w:val="ListParagraph"/>
        <w:numPr>
          <w:ilvl w:val="0"/>
          <w:numId w:val="1"/>
        </w:numPr>
        <w:spacing w:after="0" w:line="240" w:lineRule="auto"/>
        <w:rPr>
          <w:rFonts w:cstheme="minorHAnsi"/>
          <w:i/>
          <w:iCs/>
        </w:rPr>
      </w:pPr>
      <w:r w:rsidRPr="001B60F8">
        <w:rPr>
          <w:rFonts w:cstheme="minorHAnsi"/>
          <w:i/>
          <w:iCs/>
        </w:rPr>
        <w:t>Would a voluntary forward market for generation offers and a mandatory residual settlement process for LSE procurement provide additional generation revenue sufficient to incentivize resource availability in a way that improves reliability?</w:t>
      </w:r>
      <w:r w:rsidR="007178BF" w:rsidRPr="001B60F8">
        <w:rPr>
          <w:rFonts w:cstheme="minorHAnsi"/>
        </w:rPr>
        <w:t xml:space="preserve"> </w:t>
      </w:r>
    </w:p>
    <w:p w14:paraId="7CC9207E" w14:textId="77777777" w:rsidR="001719E6" w:rsidRPr="001719E6" w:rsidRDefault="001719E6" w:rsidP="001719E6">
      <w:pPr>
        <w:pStyle w:val="ListParagraph"/>
        <w:rPr>
          <w:rFonts w:cstheme="minorHAnsi"/>
        </w:rPr>
      </w:pPr>
    </w:p>
    <w:p w14:paraId="7B802C3B" w14:textId="0771E406" w:rsidR="00B3088C" w:rsidRPr="001B60F8" w:rsidRDefault="007178BF" w:rsidP="001719E6">
      <w:pPr>
        <w:pStyle w:val="ListParagraph"/>
        <w:spacing w:after="0" w:line="240" w:lineRule="auto"/>
        <w:rPr>
          <w:rFonts w:cstheme="minorHAnsi"/>
          <w:i/>
          <w:iCs/>
        </w:rPr>
      </w:pPr>
      <w:r w:rsidRPr="001B60F8">
        <w:rPr>
          <w:rFonts w:cstheme="minorHAnsi"/>
        </w:rPr>
        <w:t>No comment.</w:t>
      </w:r>
    </w:p>
    <w:p w14:paraId="5CB252CC" w14:textId="77777777" w:rsidR="007178BF" w:rsidRPr="001B60F8" w:rsidRDefault="007178BF" w:rsidP="001B60F8">
      <w:pPr>
        <w:pStyle w:val="ListParagraph"/>
        <w:spacing w:after="0" w:line="240" w:lineRule="auto"/>
        <w:rPr>
          <w:rFonts w:cstheme="minorHAnsi"/>
        </w:rPr>
      </w:pPr>
    </w:p>
    <w:p w14:paraId="3DF25C37" w14:textId="17FA480D" w:rsidR="001719E6" w:rsidRPr="001719E6" w:rsidRDefault="00B3088C" w:rsidP="001B60F8">
      <w:pPr>
        <w:pStyle w:val="ListParagraph"/>
        <w:numPr>
          <w:ilvl w:val="0"/>
          <w:numId w:val="1"/>
        </w:numPr>
        <w:spacing w:after="0" w:line="240" w:lineRule="auto"/>
        <w:rPr>
          <w:rFonts w:cstheme="minorHAnsi"/>
          <w:i/>
          <w:iCs/>
        </w:rPr>
      </w:pPr>
      <w:r w:rsidRPr="001B60F8">
        <w:rPr>
          <w:rFonts w:cstheme="minorHAnsi"/>
          <w:i/>
          <w:iCs/>
        </w:rPr>
        <w:t>Does a centrally cleared market through ERCOT sufficiently mitigate the risk of market power abuse? Should additional tools be considered?</w:t>
      </w:r>
      <w:r w:rsidR="007178BF" w:rsidRPr="001B60F8">
        <w:rPr>
          <w:rFonts w:cstheme="minorHAnsi"/>
        </w:rPr>
        <w:t xml:space="preserve"> </w:t>
      </w:r>
    </w:p>
    <w:p w14:paraId="15C89189" w14:textId="77777777" w:rsidR="001719E6" w:rsidRPr="001719E6" w:rsidRDefault="001719E6" w:rsidP="001719E6">
      <w:pPr>
        <w:pStyle w:val="ListParagraph"/>
        <w:rPr>
          <w:rFonts w:cstheme="minorHAnsi"/>
        </w:rPr>
      </w:pPr>
    </w:p>
    <w:p w14:paraId="6FB3E400" w14:textId="59697675" w:rsidR="007178BF" w:rsidRPr="001B60F8" w:rsidRDefault="007178BF" w:rsidP="001719E6">
      <w:pPr>
        <w:pStyle w:val="ListParagraph"/>
        <w:spacing w:after="0" w:line="240" w:lineRule="auto"/>
        <w:rPr>
          <w:rFonts w:cstheme="minorHAnsi"/>
          <w:i/>
          <w:iCs/>
        </w:rPr>
      </w:pPr>
      <w:r w:rsidRPr="001B60F8">
        <w:rPr>
          <w:rFonts w:cstheme="minorHAnsi"/>
        </w:rPr>
        <w:t>No comment.</w:t>
      </w:r>
    </w:p>
    <w:p w14:paraId="5F83E4EE" w14:textId="77777777" w:rsidR="007178BF" w:rsidRPr="001B60F8" w:rsidRDefault="007178BF" w:rsidP="001B60F8">
      <w:pPr>
        <w:pStyle w:val="ListParagraph"/>
        <w:spacing w:after="0" w:line="240" w:lineRule="auto"/>
        <w:rPr>
          <w:rFonts w:cstheme="minorHAnsi"/>
        </w:rPr>
      </w:pPr>
    </w:p>
    <w:p w14:paraId="1876B012" w14:textId="77AAC953" w:rsidR="00B3088C"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If the commission adopts a market design with a multi-year implementation timeline, is there a need for a short-term “bridge” product or service, like the Backstop Reliability Service, to maintain system reliability equivalent to a 1-in-10 LOLE or another reliability standard? If so, what product or service should be considered?</w:t>
      </w:r>
    </w:p>
    <w:p w14:paraId="412D7E1B" w14:textId="77777777" w:rsidR="00074C22" w:rsidRPr="001B60F8" w:rsidRDefault="00074C22" w:rsidP="001B60F8">
      <w:pPr>
        <w:pStyle w:val="ListParagraph"/>
        <w:spacing w:line="240" w:lineRule="auto"/>
        <w:rPr>
          <w:rFonts w:cstheme="minorHAnsi"/>
        </w:rPr>
      </w:pPr>
    </w:p>
    <w:p w14:paraId="620EDC8C" w14:textId="2CF24080" w:rsidR="00074C22" w:rsidRPr="001B60F8" w:rsidRDefault="00074C22" w:rsidP="001B60F8">
      <w:pPr>
        <w:pStyle w:val="ListParagraph"/>
        <w:spacing w:line="240" w:lineRule="auto"/>
        <w:rPr>
          <w:rFonts w:cstheme="minorHAnsi"/>
        </w:rPr>
      </w:pPr>
      <w:r w:rsidRPr="001B60F8">
        <w:rPr>
          <w:rFonts w:cstheme="minorHAnsi"/>
        </w:rPr>
        <w:t xml:space="preserve">We </w:t>
      </w:r>
      <w:r w:rsidR="00EC65D2">
        <w:rPr>
          <w:rFonts w:cstheme="minorHAnsi"/>
        </w:rPr>
        <w:t>do believe the reliability risk in the near term justifies the cost of a bridge product like the BRS.</w:t>
      </w:r>
      <w:r w:rsidR="00BD6937">
        <w:rPr>
          <w:rFonts w:cstheme="minorHAnsi"/>
        </w:rPr>
        <w:t xml:space="preserve"> The greater risk lies in the 2027 to 2030 timeframe, especially if federal regulations currently being proposed are implemented. Therefore, we feel there is still time, although not much time, to develop a comprehensive reliability solution without a bridge product.</w:t>
      </w:r>
    </w:p>
    <w:p w14:paraId="3CC73448" w14:textId="77777777" w:rsidR="00074C22" w:rsidRPr="001B60F8" w:rsidRDefault="00074C22" w:rsidP="001B60F8">
      <w:pPr>
        <w:pStyle w:val="ListParagraph"/>
        <w:spacing w:after="0" w:line="240" w:lineRule="auto"/>
        <w:rPr>
          <w:rFonts w:cstheme="minorHAnsi"/>
        </w:rPr>
      </w:pPr>
    </w:p>
    <w:p w14:paraId="5C6AAE34" w14:textId="2ABC713B" w:rsidR="00000000" w:rsidRPr="001B60F8" w:rsidRDefault="00B3088C" w:rsidP="001B60F8">
      <w:pPr>
        <w:pStyle w:val="ListParagraph"/>
        <w:numPr>
          <w:ilvl w:val="0"/>
          <w:numId w:val="1"/>
        </w:numPr>
        <w:spacing w:after="0" w:line="240" w:lineRule="auto"/>
        <w:rPr>
          <w:rFonts w:cstheme="minorHAnsi"/>
          <w:i/>
          <w:iCs/>
        </w:rPr>
      </w:pPr>
      <w:r w:rsidRPr="001B60F8">
        <w:rPr>
          <w:rFonts w:cstheme="minorHAnsi"/>
          <w:i/>
          <w:iCs/>
        </w:rPr>
        <w:t>If implementing a short-term design as a “bridge” delays the ultimate solution, should it be considered? Is there an alternative to a bridge solution that could be implemented immediately, using existing products, such as a long-term commitment to buy the additional 5,630 MW of Ancillary services necessary to achieve the 1-in-10 LOLE reliability standard?</w:t>
      </w:r>
    </w:p>
    <w:p w14:paraId="3346BBF4" w14:textId="77777777" w:rsidR="005A54E5" w:rsidRPr="001B60F8" w:rsidRDefault="005A54E5" w:rsidP="001B60F8">
      <w:pPr>
        <w:pStyle w:val="ListParagraph"/>
        <w:spacing w:after="0" w:line="240" w:lineRule="auto"/>
        <w:rPr>
          <w:rFonts w:cstheme="minorHAnsi"/>
        </w:rPr>
      </w:pPr>
    </w:p>
    <w:p w14:paraId="0C88F90D" w14:textId="09FA6A37" w:rsidR="005A54E5" w:rsidRPr="001B60F8" w:rsidRDefault="005A54E5" w:rsidP="001B60F8">
      <w:pPr>
        <w:pStyle w:val="ListParagraph"/>
        <w:spacing w:after="0" w:line="240" w:lineRule="auto"/>
        <w:rPr>
          <w:rFonts w:cstheme="minorHAnsi"/>
        </w:rPr>
      </w:pPr>
      <w:r w:rsidRPr="001B60F8">
        <w:rPr>
          <w:rFonts w:cstheme="minorHAnsi"/>
        </w:rPr>
        <w:t xml:space="preserve">We generally do not support </w:t>
      </w:r>
      <w:r w:rsidR="00921AB7" w:rsidRPr="001B60F8">
        <w:rPr>
          <w:rFonts w:cstheme="minorHAnsi"/>
        </w:rPr>
        <w:t>a bridge product</w:t>
      </w:r>
      <w:r w:rsidR="00083855" w:rsidRPr="001B60F8">
        <w:rPr>
          <w:rFonts w:cstheme="minorHAnsi"/>
        </w:rPr>
        <w:t>,</w:t>
      </w:r>
      <w:r w:rsidRPr="001B60F8">
        <w:rPr>
          <w:rFonts w:cstheme="minorHAnsi"/>
        </w:rPr>
        <w:t xml:space="preserve"> at least in a form similar to the Backstop Reliability Service.</w:t>
      </w:r>
      <w:r w:rsidR="00C627CC">
        <w:rPr>
          <w:rFonts w:cstheme="minorHAnsi"/>
        </w:rPr>
        <w:t xml:space="preserve"> Such a program would fail to impose discipline </w:t>
      </w:r>
      <w:r w:rsidR="00BF317E">
        <w:rPr>
          <w:rFonts w:cstheme="minorHAnsi"/>
        </w:rPr>
        <w:t>on the wind and solar growth</w:t>
      </w:r>
      <w:r w:rsidR="00C627CC">
        <w:rPr>
          <w:rFonts w:cstheme="minorHAnsi"/>
        </w:rPr>
        <w:t xml:space="preserve"> </w:t>
      </w:r>
      <w:r w:rsidR="00BF317E">
        <w:rPr>
          <w:rFonts w:cstheme="minorHAnsi"/>
        </w:rPr>
        <w:t xml:space="preserve">that is driving the need for it, </w:t>
      </w:r>
      <w:r w:rsidR="00C627CC">
        <w:rPr>
          <w:rFonts w:cstheme="minorHAnsi"/>
        </w:rPr>
        <w:t>making it an expensive and temporary band-aid at best. Also, such</w:t>
      </w:r>
      <w:r w:rsidR="00A40221">
        <w:rPr>
          <w:rFonts w:cstheme="minorHAnsi"/>
        </w:rPr>
        <w:t xml:space="preserve"> a</w:t>
      </w:r>
      <w:r w:rsidR="00C627CC">
        <w:rPr>
          <w:rFonts w:cstheme="minorHAnsi"/>
        </w:rPr>
        <w:t xml:space="preserve"> “temporary” program</w:t>
      </w:r>
      <w:r w:rsidR="00A40221">
        <w:rPr>
          <w:rFonts w:cstheme="minorHAnsi"/>
        </w:rPr>
        <w:t xml:space="preserve"> would</w:t>
      </w:r>
      <w:r w:rsidR="00C627CC">
        <w:rPr>
          <w:rFonts w:cstheme="minorHAnsi"/>
        </w:rPr>
        <w:t xml:space="preserve"> inevitably tend to become permanent </w:t>
      </w:r>
      <w:r w:rsidR="00A40221">
        <w:rPr>
          <w:rFonts w:cstheme="minorHAnsi"/>
        </w:rPr>
        <w:t>as generators become reliant on it for revenue</w:t>
      </w:r>
      <w:r w:rsidR="00BF317E">
        <w:rPr>
          <w:rFonts w:cstheme="minorHAnsi"/>
        </w:rPr>
        <w:t xml:space="preserve"> and </w:t>
      </w:r>
      <w:r w:rsidR="004B0379">
        <w:rPr>
          <w:rFonts w:cstheme="minorHAnsi"/>
        </w:rPr>
        <w:t xml:space="preserve">future </w:t>
      </w:r>
      <w:r w:rsidR="00BF317E">
        <w:rPr>
          <w:rFonts w:cstheme="minorHAnsi"/>
        </w:rPr>
        <w:t xml:space="preserve">regulators </w:t>
      </w:r>
      <w:r w:rsidR="004B0379">
        <w:rPr>
          <w:rFonts w:cstheme="minorHAnsi"/>
        </w:rPr>
        <w:t xml:space="preserve">see a continued need for </w:t>
      </w:r>
      <w:r w:rsidR="00C62AFC">
        <w:rPr>
          <w:rFonts w:cstheme="minorHAnsi"/>
        </w:rPr>
        <w:t>supporting dispatchable generation as wind and solar generation grows unimpeded.</w:t>
      </w:r>
    </w:p>
    <w:p w14:paraId="4FF6A5E9" w14:textId="77777777" w:rsidR="005A54E5" w:rsidRPr="001B60F8" w:rsidRDefault="005A54E5" w:rsidP="001B60F8">
      <w:pPr>
        <w:pStyle w:val="ListParagraph"/>
        <w:spacing w:after="0" w:line="240" w:lineRule="auto"/>
        <w:rPr>
          <w:rFonts w:cstheme="minorHAnsi"/>
          <w:i/>
          <w:iCs/>
        </w:rPr>
      </w:pPr>
    </w:p>
    <w:p w14:paraId="43FBC5EC" w14:textId="02354EC6" w:rsidR="002B503A" w:rsidRPr="001B60F8" w:rsidRDefault="002B503A" w:rsidP="001B60F8">
      <w:pPr>
        <w:pStyle w:val="ListParagraph"/>
        <w:numPr>
          <w:ilvl w:val="0"/>
          <w:numId w:val="1"/>
        </w:numPr>
        <w:spacing w:after="0" w:line="240" w:lineRule="auto"/>
        <w:rPr>
          <w:rFonts w:cstheme="minorHAnsi"/>
          <w:i/>
          <w:iCs/>
        </w:rPr>
      </w:pPr>
      <w:r w:rsidRPr="001B60F8">
        <w:rPr>
          <w:rFonts w:cstheme="minorHAnsi"/>
          <w:i/>
          <w:iCs/>
        </w:rPr>
        <w:t>What is the impact of the PCM on consumer costs?</w:t>
      </w:r>
    </w:p>
    <w:p w14:paraId="0A78BA91" w14:textId="77777777" w:rsidR="00083855" w:rsidRPr="001B60F8" w:rsidRDefault="00083855" w:rsidP="001B60F8">
      <w:pPr>
        <w:pStyle w:val="ListParagraph"/>
        <w:spacing w:after="0" w:line="240" w:lineRule="auto"/>
        <w:rPr>
          <w:rFonts w:cstheme="minorHAnsi"/>
        </w:rPr>
      </w:pPr>
    </w:p>
    <w:p w14:paraId="40D82B9C" w14:textId="1C455668" w:rsidR="00096BDC" w:rsidRDefault="00D8752A" w:rsidP="001B60F8">
      <w:pPr>
        <w:pStyle w:val="ListParagraph"/>
        <w:spacing w:after="0" w:line="240" w:lineRule="auto"/>
        <w:rPr>
          <w:rFonts w:cstheme="minorHAnsi"/>
        </w:rPr>
      </w:pPr>
      <w:r w:rsidRPr="001B60F8">
        <w:rPr>
          <w:rFonts w:cstheme="minorHAnsi"/>
        </w:rPr>
        <w:t>This is our greatest concern with the PCM over the long term</w:t>
      </w:r>
      <w:r w:rsidR="00B0499D">
        <w:rPr>
          <w:rFonts w:cstheme="minorHAnsi"/>
        </w:rPr>
        <w:t xml:space="preserve"> if the program does not include cost allocation to generators</w:t>
      </w:r>
      <w:r w:rsidRPr="001B60F8">
        <w:rPr>
          <w:rFonts w:cstheme="minorHAnsi"/>
        </w:rPr>
        <w:t>.</w:t>
      </w:r>
      <w:r w:rsidR="00C43F27">
        <w:rPr>
          <w:rFonts w:cstheme="minorHAnsi"/>
        </w:rPr>
        <w:t xml:space="preserve"> While the </w:t>
      </w:r>
      <w:r w:rsidR="00EA5266">
        <w:rPr>
          <w:rFonts w:cstheme="minorHAnsi"/>
        </w:rPr>
        <w:t xml:space="preserve">cost of the </w:t>
      </w:r>
      <w:r w:rsidR="00C43F27">
        <w:rPr>
          <w:rFonts w:cstheme="minorHAnsi"/>
        </w:rPr>
        <w:t xml:space="preserve">PCM </w:t>
      </w:r>
      <w:r w:rsidR="00EA5266">
        <w:rPr>
          <w:rFonts w:cstheme="minorHAnsi"/>
        </w:rPr>
        <w:t xml:space="preserve">will naturally tend toward </w:t>
      </w:r>
      <w:r w:rsidR="00F20E38">
        <w:rPr>
          <w:rFonts w:cstheme="minorHAnsi"/>
        </w:rPr>
        <w:t xml:space="preserve">zero if the </w:t>
      </w:r>
      <w:r w:rsidR="005C5170">
        <w:rPr>
          <w:rFonts w:cstheme="minorHAnsi"/>
        </w:rPr>
        <w:lastRenderedPageBreak/>
        <w:t xml:space="preserve">wholesale </w:t>
      </w:r>
      <w:r w:rsidR="00F20E38">
        <w:rPr>
          <w:rFonts w:cstheme="minorHAnsi"/>
        </w:rPr>
        <w:t>energy market is sufficiently compensating generators,</w:t>
      </w:r>
      <w:r w:rsidR="005C5170">
        <w:rPr>
          <w:rFonts w:cstheme="minorHAnsi"/>
        </w:rPr>
        <w:t xml:space="preserve"> from what we can tell in the current outline of the program,</w:t>
      </w:r>
      <w:r w:rsidR="00F20E38">
        <w:rPr>
          <w:rFonts w:cstheme="minorHAnsi"/>
        </w:rPr>
        <w:t xml:space="preserve"> there is not a corresponding check on the size of the program </w:t>
      </w:r>
      <w:r w:rsidR="00096BDC">
        <w:rPr>
          <w:rFonts w:cstheme="minorHAnsi"/>
        </w:rPr>
        <w:t xml:space="preserve">as wind and solar generators capture a larger share of the revenue in </w:t>
      </w:r>
      <w:r w:rsidR="00092FE6">
        <w:rPr>
          <w:rFonts w:cstheme="minorHAnsi"/>
        </w:rPr>
        <w:t>the wholesale energy</w:t>
      </w:r>
      <w:r w:rsidR="00096BDC">
        <w:rPr>
          <w:rFonts w:cstheme="minorHAnsi"/>
        </w:rPr>
        <w:t xml:space="preserve"> market</w:t>
      </w:r>
      <w:r w:rsidR="005C5170">
        <w:rPr>
          <w:rFonts w:cstheme="minorHAnsi"/>
        </w:rPr>
        <w:t xml:space="preserve">, </w:t>
      </w:r>
      <w:r w:rsidR="00096BDC">
        <w:rPr>
          <w:rFonts w:cstheme="minorHAnsi"/>
        </w:rPr>
        <w:t xml:space="preserve">forcing </w:t>
      </w:r>
      <w:r w:rsidR="005C5170">
        <w:rPr>
          <w:rFonts w:cstheme="minorHAnsi"/>
        </w:rPr>
        <w:t xml:space="preserve">more and more </w:t>
      </w:r>
      <w:r w:rsidR="00096BDC">
        <w:rPr>
          <w:rFonts w:cstheme="minorHAnsi"/>
        </w:rPr>
        <w:t xml:space="preserve">dispatchable generators </w:t>
      </w:r>
      <w:r w:rsidR="00092FE6">
        <w:rPr>
          <w:rFonts w:cstheme="minorHAnsi"/>
        </w:rPr>
        <w:t>to rely on the PCM to remain solvent.</w:t>
      </w:r>
      <w:r w:rsidR="00C627CC">
        <w:rPr>
          <w:rFonts w:cstheme="minorHAnsi"/>
        </w:rPr>
        <w:t xml:space="preserve"> This </w:t>
      </w:r>
      <w:r w:rsidR="00917383">
        <w:rPr>
          <w:rFonts w:cstheme="minorHAnsi"/>
        </w:rPr>
        <w:t>would lead to</w:t>
      </w:r>
      <w:r w:rsidR="00C627CC">
        <w:rPr>
          <w:rFonts w:cstheme="minorHAnsi"/>
        </w:rPr>
        <w:t xml:space="preserve"> exactly the kind of inefficient dual market</w:t>
      </w:r>
      <w:r w:rsidR="002B4886">
        <w:rPr>
          <w:rFonts w:cstheme="minorHAnsi"/>
        </w:rPr>
        <w:t>—</w:t>
      </w:r>
      <w:r w:rsidR="00917383">
        <w:rPr>
          <w:rFonts w:cstheme="minorHAnsi"/>
        </w:rPr>
        <w:t>energy market for wind and solar plus capacity market for dispatchable generators</w:t>
      </w:r>
      <w:r w:rsidR="002B4886">
        <w:rPr>
          <w:rFonts w:cstheme="minorHAnsi"/>
        </w:rPr>
        <w:t>—</w:t>
      </w:r>
      <w:r w:rsidR="00C627CC">
        <w:rPr>
          <w:rFonts w:cstheme="minorHAnsi"/>
        </w:rPr>
        <w:t>that</w:t>
      </w:r>
      <w:r w:rsidR="00917383">
        <w:rPr>
          <w:rFonts w:cstheme="minorHAnsi"/>
        </w:rPr>
        <w:t xml:space="preserve"> </w:t>
      </w:r>
      <w:r w:rsidR="00C627CC">
        <w:rPr>
          <w:rFonts w:cstheme="minorHAnsi"/>
        </w:rPr>
        <w:t>we</w:t>
      </w:r>
      <w:r w:rsidR="00E20458">
        <w:rPr>
          <w:rFonts w:cstheme="minorHAnsi"/>
        </w:rPr>
        <w:t xml:space="preserve"> have been concerned about from day one of this market redesign process.</w:t>
      </w:r>
    </w:p>
    <w:p w14:paraId="6BBAC6A7" w14:textId="77777777" w:rsidR="00096BDC" w:rsidRDefault="00096BDC" w:rsidP="001B60F8">
      <w:pPr>
        <w:pStyle w:val="ListParagraph"/>
        <w:spacing w:after="0" w:line="240" w:lineRule="auto"/>
        <w:rPr>
          <w:rFonts w:cstheme="minorHAnsi"/>
        </w:rPr>
      </w:pPr>
    </w:p>
    <w:p w14:paraId="23227223" w14:textId="417BCF2A" w:rsidR="00D8752A" w:rsidRPr="001B60F8" w:rsidRDefault="00DB5DB7" w:rsidP="001B60F8">
      <w:pPr>
        <w:pStyle w:val="ListParagraph"/>
        <w:spacing w:after="0" w:line="240" w:lineRule="auto"/>
        <w:rPr>
          <w:rFonts w:cstheme="minorHAnsi"/>
        </w:rPr>
      </w:pPr>
      <w:r>
        <w:rPr>
          <w:rFonts w:cstheme="minorHAnsi"/>
        </w:rPr>
        <w:t>In contrast, a firming requirement for wind and solar will</w:t>
      </w:r>
      <w:r w:rsidR="009733FF">
        <w:rPr>
          <w:rFonts w:cstheme="minorHAnsi"/>
        </w:rPr>
        <w:t xml:space="preserve"> automatically</w:t>
      </w:r>
      <w:r>
        <w:rPr>
          <w:rFonts w:cstheme="minorHAnsi"/>
        </w:rPr>
        <w:t xml:space="preserve"> impose </w:t>
      </w:r>
      <w:r w:rsidR="00D62048">
        <w:rPr>
          <w:rFonts w:cstheme="minorHAnsi"/>
        </w:rPr>
        <w:t xml:space="preserve">the needed </w:t>
      </w:r>
      <w:r>
        <w:rPr>
          <w:rFonts w:cstheme="minorHAnsi"/>
        </w:rPr>
        <w:t xml:space="preserve">market discipline. As wind and solar </w:t>
      </w:r>
      <w:r w:rsidR="00922129">
        <w:rPr>
          <w:rFonts w:cstheme="minorHAnsi"/>
        </w:rPr>
        <w:t xml:space="preserve">generators </w:t>
      </w:r>
      <w:r w:rsidR="00D62048">
        <w:rPr>
          <w:rFonts w:cstheme="minorHAnsi"/>
        </w:rPr>
        <w:t>are</w:t>
      </w:r>
      <w:r w:rsidR="00543229">
        <w:rPr>
          <w:rFonts w:cstheme="minorHAnsi"/>
        </w:rPr>
        <w:t xml:space="preserve"> added to the grid, the firming requirement for those generators will grow correspondingly, ensuring that </w:t>
      </w:r>
      <w:r w:rsidR="00F42303">
        <w:rPr>
          <w:rFonts w:cstheme="minorHAnsi"/>
        </w:rPr>
        <w:t>they only enter the market to the extent that they can meet the reliability standard</w:t>
      </w:r>
      <w:r w:rsidR="00E51B9F">
        <w:rPr>
          <w:rFonts w:cstheme="minorHAnsi"/>
        </w:rPr>
        <w:t xml:space="preserve">. </w:t>
      </w:r>
      <w:r w:rsidR="00B10B6D">
        <w:rPr>
          <w:rFonts w:cstheme="minorHAnsi"/>
        </w:rPr>
        <w:t>Depending on the cost of wind and solar, its value in the market, and the cost of</w:t>
      </w:r>
      <w:r w:rsidR="00C40576">
        <w:rPr>
          <w:rFonts w:cstheme="minorHAnsi"/>
        </w:rPr>
        <w:t xml:space="preserve"> backup power</w:t>
      </w:r>
      <w:r w:rsidR="00F42303">
        <w:rPr>
          <w:rFonts w:cstheme="minorHAnsi"/>
        </w:rPr>
        <w:t>, the</w:t>
      </w:r>
      <w:r w:rsidR="00C40576">
        <w:rPr>
          <w:rFonts w:cstheme="minorHAnsi"/>
        </w:rPr>
        <w:t xml:space="preserve"> requirement will naturally land on</w:t>
      </w:r>
      <w:r w:rsidR="00E51B9F">
        <w:rPr>
          <w:rFonts w:cstheme="minorHAnsi"/>
        </w:rPr>
        <w:t xml:space="preserve"> the economically optimum balance of wind and solar to dispatchable power</w:t>
      </w:r>
      <w:r w:rsidR="008A5B97">
        <w:rPr>
          <w:rFonts w:cstheme="minorHAnsi"/>
        </w:rPr>
        <w:t xml:space="preserve"> and preserve more of the energy market by requiring wind and solar to bid at higher prices to cover their cost of backup power.</w:t>
      </w:r>
    </w:p>
    <w:p w14:paraId="1BC14D53" w14:textId="77777777" w:rsidR="00D8752A" w:rsidRPr="001B60F8" w:rsidRDefault="00D8752A" w:rsidP="001B60F8">
      <w:pPr>
        <w:pStyle w:val="ListParagraph"/>
        <w:spacing w:after="0" w:line="240" w:lineRule="auto"/>
        <w:rPr>
          <w:rFonts w:cstheme="minorHAnsi"/>
          <w:i/>
          <w:iCs/>
        </w:rPr>
      </w:pPr>
    </w:p>
    <w:p w14:paraId="341DA552" w14:textId="77777777" w:rsidR="001719E6" w:rsidRPr="001719E6" w:rsidRDefault="002B503A" w:rsidP="001B60F8">
      <w:pPr>
        <w:pStyle w:val="ListParagraph"/>
        <w:numPr>
          <w:ilvl w:val="0"/>
          <w:numId w:val="1"/>
        </w:numPr>
        <w:spacing w:after="0" w:line="240" w:lineRule="auto"/>
        <w:rPr>
          <w:rFonts w:cstheme="minorHAnsi"/>
          <w:i/>
          <w:iCs/>
        </w:rPr>
      </w:pPr>
      <w:r w:rsidRPr="001B60F8">
        <w:rPr>
          <w:rFonts w:cstheme="minorHAnsi"/>
          <w:i/>
          <w:iCs/>
        </w:rPr>
        <w:t>What is the fastest and most efficient manner to build a “bridge” product or service, such as the BRS, in order to start sending market signals for investment in new and dispatchable generation, while a multi-year market design is implemented by ERCOT? Please provide specific steps</w:t>
      </w:r>
      <w:r w:rsidR="00083855" w:rsidRPr="001B60F8">
        <w:rPr>
          <w:rFonts w:cstheme="minorHAnsi"/>
          <w:i/>
          <w:iCs/>
        </w:rPr>
        <w:t>.</w:t>
      </w:r>
    </w:p>
    <w:p w14:paraId="16E69DCB" w14:textId="77777777" w:rsidR="001719E6" w:rsidRDefault="001719E6" w:rsidP="001719E6">
      <w:pPr>
        <w:pStyle w:val="ListParagraph"/>
        <w:spacing w:after="0" w:line="240" w:lineRule="auto"/>
        <w:rPr>
          <w:rFonts w:cstheme="minorHAnsi"/>
        </w:rPr>
      </w:pPr>
    </w:p>
    <w:p w14:paraId="2CE4C1FB" w14:textId="705C1034" w:rsidR="002B503A" w:rsidRPr="001B60F8" w:rsidRDefault="00083855" w:rsidP="001719E6">
      <w:pPr>
        <w:pStyle w:val="ListParagraph"/>
        <w:spacing w:after="0" w:line="240" w:lineRule="auto"/>
        <w:rPr>
          <w:rFonts w:cstheme="minorHAnsi"/>
          <w:i/>
          <w:iCs/>
        </w:rPr>
      </w:pPr>
      <w:r w:rsidRPr="001B60F8">
        <w:rPr>
          <w:rFonts w:cstheme="minorHAnsi"/>
        </w:rPr>
        <w:t>No comment.</w:t>
      </w:r>
    </w:p>
    <w:p w14:paraId="20DCE3FD" w14:textId="77777777" w:rsidR="00D8752A" w:rsidRPr="001B60F8" w:rsidRDefault="00D8752A" w:rsidP="001B60F8">
      <w:pPr>
        <w:pStyle w:val="ListParagraph"/>
        <w:spacing w:after="0" w:line="240" w:lineRule="auto"/>
        <w:rPr>
          <w:rFonts w:cstheme="minorHAnsi"/>
        </w:rPr>
      </w:pPr>
    </w:p>
    <w:p w14:paraId="561F4AFD" w14:textId="404EFBA2" w:rsidR="001B60F8" w:rsidRPr="001B60F8" w:rsidRDefault="002B503A" w:rsidP="001B60F8">
      <w:pPr>
        <w:pStyle w:val="ListParagraph"/>
        <w:numPr>
          <w:ilvl w:val="0"/>
          <w:numId w:val="1"/>
        </w:numPr>
        <w:spacing w:after="0" w:line="240" w:lineRule="auto"/>
        <w:rPr>
          <w:rFonts w:cstheme="minorHAnsi"/>
          <w:i/>
          <w:iCs/>
        </w:rPr>
      </w:pPr>
      <w:r w:rsidRPr="001B60F8">
        <w:rPr>
          <w:rFonts w:cstheme="minorHAnsi"/>
          <w:i/>
          <w:iCs/>
        </w:rPr>
        <w:t>In what ways could the Dispatchable Energy Credit (DEC) design be modified through quantity and resource eligibility requirements, e.g. new technology such as small modular nuclear reactors, in such a way that it incentivizes new and dispatchable generation?</w:t>
      </w:r>
    </w:p>
    <w:p w14:paraId="59204138" w14:textId="77777777" w:rsidR="001B60F8" w:rsidRPr="001B60F8" w:rsidRDefault="001B60F8" w:rsidP="001B60F8">
      <w:pPr>
        <w:pStyle w:val="ListParagraph"/>
        <w:rPr>
          <w:rFonts w:cstheme="minorHAnsi"/>
          <w:i/>
          <w:iCs/>
        </w:rPr>
      </w:pPr>
    </w:p>
    <w:p w14:paraId="666DE271" w14:textId="21077196" w:rsidR="001B60F8" w:rsidRDefault="00EE1BBE" w:rsidP="001B60F8">
      <w:pPr>
        <w:pStyle w:val="ListParagraph"/>
        <w:spacing w:after="0" w:line="240" w:lineRule="auto"/>
        <w:rPr>
          <w:rFonts w:cstheme="minorHAnsi"/>
        </w:rPr>
      </w:pPr>
      <w:r>
        <w:rPr>
          <w:rFonts w:cstheme="minorHAnsi"/>
        </w:rPr>
        <w:t xml:space="preserve">We do not think a DEC program focused </w:t>
      </w:r>
      <w:r w:rsidR="00AD4F36">
        <w:rPr>
          <w:rFonts w:cstheme="minorHAnsi"/>
        </w:rPr>
        <w:t xml:space="preserve">solely </w:t>
      </w:r>
      <w:r w:rsidR="00C156CA">
        <w:rPr>
          <w:rFonts w:cstheme="minorHAnsi"/>
        </w:rPr>
        <w:t xml:space="preserve">on new </w:t>
      </w:r>
      <w:r w:rsidR="00D61FB4">
        <w:rPr>
          <w:rFonts w:cstheme="minorHAnsi"/>
        </w:rPr>
        <w:t xml:space="preserve">dispatchable </w:t>
      </w:r>
      <w:r w:rsidR="00C156CA">
        <w:rPr>
          <w:rFonts w:cstheme="minorHAnsi"/>
        </w:rPr>
        <w:t>generation will benefit the ERCOT market.</w:t>
      </w:r>
      <w:r w:rsidR="00AD4F36">
        <w:rPr>
          <w:rFonts w:cstheme="minorHAnsi"/>
        </w:rPr>
        <w:t xml:space="preserve"> Any program to promote dispatchable capacity should </w:t>
      </w:r>
      <w:r w:rsidR="00C156CA">
        <w:rPr>
          <w:rFonts w:cstheme="minorHAnsi"/>
        </w:rPr>
        <w:t>be open to all dispatchable generat</w:t>
      </w:r>
      <w:r w:rsidR="00D61FB4">
        <w:rPr>
          <w:rFonts w:cstheme="minorHAnsi"/>
        </w:rPr>
        <w:t>ors that can commit in advance with long duration, and</w:t>
      </w:r>
      <w:r w:rsidR="00AD4F36">
        <w:rPr>
          <w:rFonts w:cstheme="minorHAnsi"/>
        </w:rPr>
        <w:t xml:space="preserve"> </w:t>
      </w:r>
      <w:r w:rsidR="00D61FB4">
        <w:rPr>
          <w:rFonts w:cstheme="minorHAnsi"/>
        </w:rPr>
        <w:t>the</w:t>
      </w:r>
      <w:r w:rsidR="00AD4F36">
        <w:rPr>
          <w:rFonts w:cstheme="minorHAnsi"/>
        </w:rPr>
        <w:t xml:space="preserve"> costs </w:t>
      </w:r>
      <w:r w:rsidR="00D61FB4">
        <w:rPr>
          <w:rFonts w:cstheme="minorHAnsi"/>
        </w:rPr>
        <w:t xml:space="preserve">should be </w:t>
      </w:r>
      <w:r w:rsidR="00AD4F36">
        <w:rPr>
          <w:rFonts w:cstheme="minorHAnsi"/>
        </w:rPr>
        <w:t>allocated not only to load but also to non-performing generators</w:t>
      </w:r>
      <w:r w:rsidR="008E4EA2">
        <w:rPr>
          <w:rFonts w:cstheme="minorHAnsi"/>
        </w:rPr>
        <w:t>, particularly wind and solar</w:t>
      </w:r>
      <w:r w:rsidR="00AD4F36">
        <w:rPr>
          <w:rFonts w:cstheme="minorHAnsi"/>
        </w:rPr>
        <w:t>.</w:t>
      </w:r>
    </w:p>
    <w:p w14:paraId="3BEA2EC7" w14:textId="77777777" w:rsidR="001719E6" w:rsidRDefault="001719E6" w:rsidP="001719E6">
      <w:pPr>
        <w:spacing w:after="0" w:line="240" w:lineRule="auto"/>
        <w:rPr>
          <w:rFonts w:cstheme="minorHAnsi"/>
        </w:rPr>
      </w:pPr>
    </w:p>
    <w:p w14:paraId="431C2A92" w14:textId="28470254" w:rsidR="00C40DE7" w:rsidRPr="005B40D9" w:rsidRDefault="001719E6" w:rsidP="005B40D9">
      <w:pPr>
        <w:spacing w:after="0" w:line="240" w:lineRule="auto"/>
        <w:rPr>
          <w:rFonts w:cstheme="minorHAnsi"/>
        </w:rPr>
      </w:pPr>
      <w:r>
        <w:rPr>
          <w:rFonts w:cstheme="minorHAnsi"/>
        </w:rPr>
        <w:t>…</w:t>
      </w:r>
    </w:p>
    <w:p w14:paraId="4AD86AE9" w14:textId="77777777" w:rsidR="00C40DE7" w:rsidRDefault="00C40DE7" w:rsidP="00C40DE7">
      <w:pPr>
        <w:spacing w:after="0"/>
        <w:ind w:left="4320"/>
      </w:pPr>
      <w:r>
        <w:t>Sincerely,</w:t>
      </w:r>
    </w:p>
    <w:p w14:paraId="6B8A4BA7" w14:textId="77777777" w:rsidR="00C40DE7" w:rsidRDefault="00C40DE7" w:rsidP="00C40DE7">
      <w:pPr>
        <w:spacing w:after="0"/>
        <w:ind w:left="4320"/>
      </w:pPr>
    </w:p>
    <w:p w14:paraId="33852BCC" w14:textId="77777777" w:rsidR="00C40DE7" w:rsidRPr="00D55967" w:rsidRDefault="00C40DE7" w:rsidP="00C40DE7">
      <w:pPr>
        <w:spacing w:after="0"/>
        <w:ind w:left="4320"/>
      </w:pPr>
      <w:r>
        <w:rPr>
          <w:u w:val="single"/>
        </w:rPr>
        <w:t xml:space="preserve">/s/ </w:t>
      </w:r>
      <w:r>
        <w:rPr>
          <w:i/>
          <w:iCs/>
          <w:u w:val="single"/>
        </w:rPr>
        <w:t>Jason Isaac</w:t>
      </w:r>
    </w:p>
    <w:p w14:paraId="16EDFAC4" w14:textId="77777777" w:rsidR="00C40DE7" w:rsidRDefault="00C40DE7" w:rsidP="00C40DE7">
      <w:pPr>
        <w:spacing w:after="0"/>
        <w:ind w:left="4320"/>
      </w:pPr>
      <w:r>
        <w:t>Hon. Jason Isaac</w:t>
      </w:r>
    </w:p>
    <w:p w14:paraId="42B9F9E2" w14:textId="77777777" w:rsidR="00C40DE7" w:rsidRDefault="00C40DE7" w:rsidP="00C40DE7">
      <w:pPr>
        <w:spacing w:after="0"/>
        <w:ind w:left="4320"/>
      </w:pPr>
      <w:r>
        <w:t>Director, Life:Powered</w:t>
      </w:r>
    </w:p>
    <w:p w14:paraId="73B43448" w14:textId="77777777" w:rsidR="00C40DE7" w:rsidRPr="004637B8" w:rsidRDefault="00C40DE7" w:rsidP="00C40DE7">
      <w:pPr>
        <w:spacing w:after="0"/>
        <w:ind w:left="4320"/>
      </w:pPr>
      <w:r>
        <w:t>Texas Public Policy Foundation</w:t>
      </w:r>
    </w:p>
    <w:p w14:paraId="506B618C" w14:textId="77777777" w:rsidR="00C40DE7" w:rsidRDefault="00C40DE7" w:rsidP="001B60F8">
      <w:pPr>
        <w:pStyle w:val="ListParagraph"/>
        <w:spacing w:after="0" w:line="240" w:lineRule="auto"/>
        <w:rPr>
          <w:rFonts w:cstheme="minorHAnsi"/>
        </w:rPr>
      </w:pPr>
    </w:p>
    <w:p w14:paraId="4451DE13" w14:textId="105F2764" w:rsidR="00C40DE7" w:rsidRPr="00D55967" w:rsidRDefault="00C40DE7" w:rsidP="00C40DE7">
      <w:pPr>
        <w:spacing w:after="0"/>
        <w:ind w:left="4320"/>
      </w:pPr>
      <w:r>
        <w:rPr>
          <w:u w:val="single"/>
        </w:rPr>
        <w:t xml:space="preserve">/s/ </w:t>
      </w:r>
      <w:r>
        <w:rPr>
          <w:i/>
          <w:iCs/>
          <w:u w:val="single"/>
        </w:rPr>
        <w:t>Brent Bennett</w:t>
      </w:r>
    </w:p>
    <w:p w14:paraId="13C16841" w14:textId="5CD32493" w:rsidR="00C40DE7" w:rsidRDefault="00C40DE7" w:rsidP="00C40DE7">
      <w:pPr>
        <w:spacing w:after="0"/>
        <w:ind w:left="4320"/>
      </w:pPr>
      <w:r>
        <w:t>Dr. Brent Bennett</w:t>
      </w:r>
    </w:p>
    <w:p w14:paraId="7DC947EC" w14:textId="1756D5D0" w:rsidR="00C40DE7" w:rsidRDefault="00C40DE7" w:rsidP="00C40DE7">
      <w:pPr>
        <w:spacing w:after="0"/>
        <w:ind w:left="4320"/>
      </w:pPr>
      <w:r>
        <w:t>Policy Director, Life:Powered</w:t>
      </w:r>
    </w:p>
    <w:p w14:paraId="684E6958" w14:textId="7E121ADA" w:rsidR="003B665B" w:rsidRDefault="00C40DE7" w:rsidP="003B665B">
      <w:pPr>
        <w:pStyle w:val="ListParagraph"/>
        <w:spacing w:after="0" w:line="240" w:lineRule="auto"/>
        <w:ind w:left="3600" w:firstLine="720"/>
        <w:rPr>
          <w:rFonts w:cstheme="minorHAnsi"/>
        </w:rPr>
      </w:pPr>
      <w:r>
        <w:t>Texas Public Policy Foundation</w:t>
      </w:r>
    </w:p>
    <w:p w14:paraId="5603C7D6" w14:textId="179D099F" w:rsidR="003B665B" w:rsidRDefault="003B665B">
      <w:pPr>
        <w:rPr>
          <w:rFonts w:cstheme="minorHAnsi"/>
        </w:rPr>
      </w:pPr>
      <w:r>
        <w:rPr>
          <w:rFonts w:cstheme="minorHAnsi"/>
        </w:rPr>
        <w:br w:type="page"/>
      </w:r>
    </w:p>
    <w:p w14:paraId="5258EB88" w14:textId="64A1BE6F" w:rsidR="003B665B" w:rsidRPr="001B60F8" w:rsidRDefault="003B665B" w:rsidP="00341DCE">
      <w:pPr>
        <w:spacing w:after="0" w:line="240" w:lineRule="auto"/>
        <w:jc w:val="center"/>
        <w:rPr>
          <w:rFonts w:cstheme="minorHAnsi"/>
          <w:b/>
          <w:bCs/>
        </w:rPr>
      </w:pPr>
      <w:r w:rsidRPr="001B60F8">
        <w:rPr>
          <w:rFonts w:cstheme="minorHAnsi"/>
          <w:b/>
          <w:bCs/>
        </w:rPr>
        <w:lastRenderedPageBreak/>
        <w:t>PROJECT NO. 5</w:t>
      </w:r>
      <w:r w:rsidR="00385299">
        <w:rPr>
          <w:rFonts w:cstheme="minorHAnsi"/>
          <w:b/>
          <w:bCs/>
        </w:rPr>
        <w:t>4335</w:t>
      </w:r>
    </w:p>
    <w:p w14:paraId="3850B359" w14:textId="77777777" w:rsidR="003B665B" w:rsidRPr="001B60F8" w:rsidRDefault="003B665B" w:rsidP="00341DCE">
      <w:pPr>
        <w:spacing w:after="0" w:line="240" w:lineRule="auto"/>
        <w:jc w:val="center"/>
        <w:rPr>
          <w:rFonts w:cstheme="minorHAnsi"/>
          <w:b/>
          <w:bCs/>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720"/>
        <w:gridCol w:w="4320"/>
      </w:tblGrid>
      <w:tr w:rsidR="003B665B" w:rsidRPr="001B60F8" w14:paraId="0FE7BC25" w14:textId="77777777">
        <w:tc>
          <w:tcPr>
            <w:tcW w:w="4320" w:type="dxa"/>
            <w:vAlign w:val="center"/>
          </w:tcPr>
          <w:p w14:paraId="0AFD293D" w14:textId="7A0243CC" w:rsidR="003B665B" w:rsidRPr="001B60F8" w:rsidRDefault="00385299" w:rsidP="00341DCE">
            <w:pPr>
              <w:jc w:val="center"/>
              <w:rPr>
                <w:rFonts w:cstheme="minorHAnsi"/>
                <w:b/>
                <w:bCs/>
              </w:rPr>
            </w:pPr>
            <w:r w:rsidRPr="00385299">
              <w:rPr>
                <w:rFonts w:cstheme="minorHAnsi"/>
                <w:b/>
                <w:bCs/>
              </w:rPr>
              <w:t>REVIEW OF MARKET REFORM ASSESSMENT PRODUCED BY ENERGY AND ENVIRONMENTAL ECONOMICS, INC. (E3)</w:t>
            </w:r>
          </w:p>
        </w:tc>
        <w:tc>
          <w:tcPr>
            <w:tcW w:w="720" w:type="dxa"/>
            <w:vAlign w:val="center"/>
          </w:tcPr>
          <w:p w14:paraId="2D23BCB6" w14:textId="77777777" w:rsidR="003B665B" w:rsidRPr="001B60F8" w:rsidRDefault="003B665B" w:rsidP="00341DCE">
            <w:pPr>
              <w:jc w:val="center"/>
              <w:rPr>
                <w:rFonts w:cstheme="minorHAnsi"/>
                <w:b/>
                <w:bCs/>
              </w:rPr>
            </w:pPr>
            <w:r w:rsidRPr="001B60F8">
              <w:rPr>
                <w:rFonts w:cstheme="minorHAnsi"/>
                <w:b/>
                <w:bCs/>
              </w:rPr>
              <w:t>§</w:t>
            </w:r>
          </w:p>
          <w:p w14:paraId="4F0B6AC2" w14:textId="77777777" w:rsidR="003B665B" w:rsidRPr="001B60F8" w:rsidRDefault="003B665B" w:rsidP="00341DCE">
            <w:pPr>
              <w:jc w:val="center"/>
              <w:rPr>
                <w:rFonts w:cstheme="minorHAnsi"/>
                <w:b/>
                <w:bCs/>
              </w:rPr>
            </w:pPr>
            <w:r w:rsidRPr="001B60F8">
              <w:rPr>
                <w:rFonts w:cstheme="minorHAnsi"/>
                <w:b/>
                <w:bCs/>
              </w:rPr>
              <w:t>§</w:t>
            </w:r>
          </w:p>
          <w:p w14:paraId="040B69C0" w14:textId="77777777" w:rsidR="003B665B" w:rsidRPr="001B60F8" w:rsidRDefault="003B665B" w:rsidP="00341DCE">
            <w:pPr>
              <w:jc w:val="center"/>
              <w:rPr>
                <w:rFonts w:cstheme="minorHAnsi"/>
                <w:b/>
                <w:bCs/>
              </w:rPr>
            </w:pPr>
            <w:r w:rsidRPr="001B60F8">
              <w:rPr>
                <w:rFonts w:cstheme="minorHAnsi"/>
                <w:b/>
                <w:bCs/>
              </w:rPr>
              <w:t>§</w:t>
            </w:r>
          </w:p>
        </w:tc>
        <w:tc>
          <w:tcPr>
            <w:tcW w:w="4320" w:type="dxa"/>
            <w:vAlign w:val="center"/>
          </w:tcPr>
          <w:p w14:paraId="44E492FD" w14:textId="77777777" w:rsidR="003B665B" w:rsidRPr="001B60F8" w:rsidRDefault="003B665B" w:rsidP="00341DCE">
            <w:pPr>
              <w:jc w:val="center"/>
              <w:rPr>
                <w:rFonts w:cstheme="minorHAnsi"/>
                <w:b/>
                <w:bCs/>
              </w:rPr>
            </w:pPr>
            <w:r w:rsidRPr="001B60F8">
              <w:rPr>
                <w:rFonts w:cstheme="minorHAnsi"/>
                <w:b/>
                <w:bCs/>
              </w:rPr>
              <w:t>PUBLIC UTILITY COMMISSION OF TEXAS</w:t>
            </w:r>
          </w:p>
        </w:tc>
      </w:tr>
    </w:tbl>
    <w:p w14:paraId="48298ED0" w14:textId="77777777" w:rsidR="003B665B" w:rsidRPr="001B60F8" w:rsidRDefault="003B665B" w:rsidP="00341DCE">
      <w:pPr>
        <w:spacing w:after="0" w:line="240" w:lineRule="auto"/>
        <w:rPr>
          <w:rFonts w:cstheme="minorHAnsi"/>
          <w:b/>
          <w:bCs/>
        </w:rPr>
      </w:pPr>
    </w:p>
    <w:p w14:paraId="7D58A451" w14:textId="17D41A36" w:rsidR="003B665B" w:rsidRPr="001B60F8" w:rsidRDefault="00A07C71" w:rsidP="00341DCE">
      <w:pPr>
        <w:spacing w:after="0" w:line="240" w:lineRule="auto"/>
        <w:jc w:val="center"/>
        <w:rPr>
          <w:rFonts w:cstheme="minorHAnsi"/>
          <w:b/>
          <w:bCs/>
          <w:u w:val="single"/>
        </w:rPr>
      </w:pPr>
      <w:r>
        <w:rPr>
          <w:rFonts w:cstheme="minorHAnsi"/>
          <w:b/>
          <w:bCs/>
          <w:u w:val="single"/>
        </w:rPr>
        <w:t xml:space="preserve">COMMENTS OF THE </w:t>
      </w:r>
      <w:r w:rsidR="003B665B" w:rsidRPr="001B60F8">
        <w:rPr>
          <w:rFonts w:cstheme="minorHAnsi"/>
          <w:b/>
          <w:bCs/>
          <w:u w:val="single"/>
        </w:rPr>
        <w:t>TEXAS PUBLIC POLICY FOUNDATION</w:t>
      </w:r>
      <w:r>
        <w:rPr>
          <w:rFonts w:cstheme="minorHAnsi"/>
          <w:b/>
          <w:bCs/>
          <w:u w:val="single"/>
        </w:rPr>
        <w:t>: EXECUTIVE SUMMARY</w:t>
      </w:r>
    </w:p>
    <w:p w14:paraId="7E86C5F1" w14:textId="77777777" w:rsidR="003B665B" w:rsidRDefault="003B665B" w:rsidP="00341DCE">
      <w:pPr>
        <w:spacing w:after="0" w:line="240" w:lineRule="auto"/>
        <w:rPr>
          <w:rFonts w:cstheme="minorHAnsi"/>
        </w:rPr>
      </w:pPr>
    </w:p>
    <w:p w14:paraId="629E6E16" w14:textId="4164D754" w:rsidR="00385299" w:rsidRDefault="00385299" w:rsidP="00341DCE">
      <w:pPr>
        <w:spacing w:after="0" w:line="240" w:lineRule="auto"/>
        <w:rPr>
          <w:rFonts w:cstheme="minorHAnsi"/>
        </w:rPr>
      </w:pPr>
      <w:r w:rsidRPr="00385299">
        <w:rPr>
          <w:rFonts w:cstheme="minorHAnsi"/>
          <w:b/>
          <w:bCs/>
        </w:rPr>
        <w:t>General Comments</w:t>
      </w:r>
    </w:p>
    <w:p w14:paraId="5197B8B5" w14:textId="3B9E724B" w:rsidR="00385299" w:rsidRDefault="002B4886" w:rsidP="00341DCE">
      <w:pPr>
        <w:pStyle w:val="ListParagraph"/>
        <w:numPr>
          <w:ilvl w:val="0"/>
          <w:numId w:val="4"/>
        </w:numPr>
        <w:spacing w:after="0" w:line="240" w:lineRule="auto"/>
        <w:rPr>
          <w:rFonts w:cstheme="minorHAnsi"/>
        </w:rPr>
      </w:pPr>
      <w:r w:rsidRPr="002B4886">
        <w:rPr>
          <w:rFonts w:cstheme="minorHAnsi"/>
        </w:rPr>
        <w:t>Any market redesign needs to address the overinvestment in wind and solar generation in addition to the underinvestment in dispatchable generation.</w:t>
      </w:r>
    </w:p>
    <w:p w14:paraId="107F0CB4" w14:textId="1F2A832F" w:rsidR="0021480C" w:rsidRDefault="00EA306C" w:rsidP="00341DCE">
      <w:pPr>
        <w:pStyle w:val="ListParagraph"/>
        <w:numPr>
          <w:ilvl w:val="0"/>
          <w:numId w:val="4"/>
        </w:numPr>
        <w:spacing w:after="0" w:line="240" w:lineRule="auto"/>
        <w:rPr>
          <w:rFonts w:cstheme="minorHAnsi"/>
        </w:rPr>
      </w:pPr>
      <w:r w:rsidRPr="00EA306C">
        <w:rPr>
          <w:rFonts w:cstheme="minorHAnsi"/>
        </w:rPr>
        <w:t xml:space="preserve">Although the PCM and FRM represent improvements over the original Phase 2 concepts, </w:t>
      </w:r>
      <w:r w:rsidR="004321BE" w:rsidRPr="004321BE">
        <w:rPr>
          <w:rFonts w:cstheme="minorHAnsi"/>
        </w:rPr>
        <w:t>TPPF still prefers a targeted firming requirement for wind and solar as the most economically efficient option for addressing both the overinvestment and underinvestment problems facing the ERCOT market.</w:t>
      </w:r>
    </w:p>
    <w:p w14:paraId="23723FC6" w14:textId="77777777" w:rsidR="00C57C6F" w:rsidRDefault="0079001B">
      <w:pPr>
        <w:pStyle w:val="ListParagraph"/>
        <w:numPr>
          <w:ilvl w:val="0"/>
          <w:numId w:val="4"/>
        </w:numPr>
        <w:spacing w:after="0" w:line="240" w:lineRule="auto"/>
        <w:rPr>
          <w:rFonts w:cstheme="minorHAnsi"/>
        </w:rPr>
      </w:pPr>
      <w:bookmarkStart w:id="1" w:name="_Hlk121866383"/>
      <w:r w:rsidRPr="00C57C6F">
        <w:rPr>
          <w:rFonts w:cstheme="minorHAnsi"/>
        </w:rPr>
        <w:t xml:space="preserve">The concepts </w:t>
      </w:r>
      <w:r w:rsidR="00E62156" w:rsidRPr="00C57C6F">
        <w:rPr>
          <w:rFonts w:cstheme="minorHAnsi"/>
        </w:rPr>
        <w:t xml:space="preserve">contemplated in the E3 report </w:t>
      </w:r>
      <w:r w:rsidRPr="00C57C6F">
        <w:rPr>
          <w:rFonts w:cstheme="minorHAnsi"/>
        </w:rPr>
        <w:t xml:space="preserve">could </w:t>
      </w:r>
      <w:r w:rsidR="00E62156" w:rsidRPr="00C57C6F">
        <w:rPr>
          <w:rFonts w:cstheme="minorHAnsi"/>
        </w:rPr>
        <w:t xml:space="preserve">all </w:t>
      </w:r>
      <w:r w:rsidRPr="00C57C6F">
        <w:rPr>
          <w:rFonts w:cstheme="minorHAnsi"/>
        </w:rPr>
        <w:t xml:space="preserve">be improved significantly by </w:t>
      </w:r>
      <w:r w:rsidR="00B534A0" w:rsidRPr="00C57C6F">
        <w:rPr>
          <w:rFonts w:cstheme="minorHAnsi"/>
        </w:rPr>
        <w:t>limiting eligibility to long-duration dispatchable resources</w:t>
      </w:r>
      <w:r w:rsidR="00E965C6" w:rsidRPr="00C57C6F">
        <w:rPr>
          <w:rFonts w:cstheme="minorHAnsi"/>
        </w:rPr>
        <w:t xml:space="preserve">, </w:t>
      </w:r>
      <w:r w:rsidR="00D113DF" w:rsidRPr="00C57C6F">
        <w:rPr>
          <w:rFonts w:cstheme="minorHAnsi"/>
        </w:rPr>
        <w:t xml:space="preserve">targeting the services </w:t>
      </w:r>
      <w:r w:rsidR="0084198B" w:rsidRPr="00C57C6F">
        <w:rPr>
          <w:rFonts w:cstheme="minorHAnsi"/>
        </w:rPr>
        <w:t>to</w:t>
      </w:r>
      <w:r w:rsidR="00D113DF" w:rsidRPr="00C57C6F">
        <w:rPr>
          <w:rFonts w:cstheme="minorHAnsi"/>
        </w:rPr>
        <w:t xml:space="preserve"> performance during </w:t>
      </w:r>
      <w:r w:rsidR="0084198B" w:rsidRPr="00C57C6F">
        <w:rPr>
          <w:rFonts w:cstheme="minorHAnsi"/>
        </w:rPr>
        <w:t>periods</w:t>
      </w:r>
      <w:r w:rsidR="00D113DF" w:rsidRPr="00C57C6F">
        <w:rPr>
          <w:rFonts w:cstheme="minorHAnsi"/>
        </w:rPr>
        <w:t xml:space="preserve"> of highest net load,</w:t>
      </w:r>
      <w:r w:rsidRPr="00C57C6F">
        <w:rPr>
          <w:rFonts w:cstheme="minorHAnsi"/>
        </w:rPr>
        <w:t xml:space="preserve"> and </w:t>
      </w:r>
      <w:bookmarkEnd w:id="1"/>
      <w:r w:rsidR="00C57C6F" w:rsidRPr="00C57C6F">
        <w:rPr>
          <w:rFonts w:cstheme="minorHAnsi"/>
        </w:rPr>
        <w:t>allocating costs in a holistic manner among intermittent generators, non-performing dispatchable generators, and loads, in proportion to their contribution to system variability during times of highest net load.</w:t>
      </w:r>
    </w:p>
    <w:p w14:paraId="6616E782" w14:textId="3CE11F15" w:rsidR="0021480C" w:rsidRPr="00C57C6F" w:rsidRDefault="0021480C">
      <w:pPr>
        <w:pStyle w:val="ListParagraph"/>
        <w:numPr>
          <w:ilvl w:val="0"/>
          <w:numId w:val="4"/>
        </w:numPr>
        <w:spacing w:after="0" w:line="240" w:lineRule="auto"/>
        <w:rPr>
          <w:rFonts w:cstheme="minorHAnsi"/>
        </w:rPr>
      </w:pPr>
      <w:r w:rsidRPr="00C57C6F">
        <w:rPr>
          <w:rFonts w:cstheme="minorHAnsi"/>
        </w:rPr>
        <w:t>Any reliability standard that is adopted should address the depth and duration of a load event in addition to the frequency and be targeted toward reducing the probability of a large loss of load event</w:t>
      </w:r>
      <w:r w:rsidR="002C69BE" w:rsidRPr="00C57C6F">
        <w:rPr>
          <w:rFonts w:cstheme="minorHAnsi"/>
        </w:rPr>
        <w:t xml:space="preserve"> over multiple consecutive hours</w:t>
      </w:r>
      <w:r w:rsidRPr="00C57C6F">
        <w:rPr>
          <w:rFonts w:cstheme="minorHAnsi"/>
        </w:rPr>
        <w:t>.</w:t>
      </w:r>
    </w:p>
    <w:p w14:paraId="4692D8EE" w14:textId="77777777" w:rsidR="00DC380B" w:rsidRDefault="00DC380B" w:rsidP="00341DCE">
      <w:pPr>
        <w:spacing w:after="0" w:line="240" w:lineRule="auto"/>
        <w:rPr>
          <w:rFonts w:cstheme="minorHAnsi"/>
        </w:rPr>
      </w:pPr>
    </w:p>
    <w:p w14:paraId="3DE83C91" w14:textId="692E70D1" w:rsidR="00DC380B" w:rsidRDefault="00DC380B" w:rsidP="00341DCE">
      <w:pPr>
        <w:spacing w:after="0" w:line="240" w:lineRule="auto"/>
        <w:rPr>
          <w:rFonts w:cstheme="minorHAnsi"/>
          <w:b/>
          <w:bCs/>
        </w:rPr>
      </w:pPr>
      <w:r>
        <w:rPr>
          <w:rFonts w:cstheme="minorHAnsi"/>
          <w:b/>
          <w:bCs/>
        </w:rPr>
        <w:t>Critiques of the E3 Report</w:t>
      </w:r>
    </w:p>
    <w:p w14:paraId="6A740ED5" w14:textId="037848DA" w:rsidR="00DC380B" w:rsidRPr="005A01FD" w:rsidRDefault="005A01FD" w:rsidP="00341DCE">
      <w:pPr>
        <w:pStyle w:val="ListParagraph"/>
        <w:numPr>
          <w:ilvl w:val="0"/>
          <w:numId w:val="5"/>
        </w:numPr>
        <w:spacing w:after="0" w:line="240" w:lineRule="auto"/>
        <w:rPr>
          <w:rFonts w:cstheme="minorHAnsi"/>
        </w:rPr>
      </w:pPr>
      <w:r w:rsidRPr="005A01FD">
        <w:rPr>
          <w:rFonts w:cstheme="minorHAnsi"/>
        </w:rPr>
        <w:t xml:space="preserve">In an environment where many observers are saying that there is not a shortage of dispatchable capacity in ERCOT or that the operational and Phase 1 reforms are sufficient, this </w:t>
      </w:r>
      <w:r w:rsidR="00151F2B">
        <w:rPr>
          <w:rFonts w:cstheme="minorHAnsi"/>
        </w:rPr>
        <w:t xml:space="preserve">study accurately shows </w:t>
      </w:r>
      <w:r w:rsidRPr="005A01FD">
        <w:rPr>
          <w:rFonts w:cstheme="minorHAnsi"/>
        </w:rPr>
        <w:t>that there is a looming shortage of dispatchable capacity in ERCOT and that market reform is needed in order to achieve the levels of reliability that Texans expect.</w:t>
      </w:r>
    </w:p>
    <w:p w14:paraId="68BDDCB7" w14:textId="1A5BFF88" w:rsidR="001E69F9" w:rsidRDefault="001E69F9" w:rsidP="00341DCE">
      <w:pPr>
        <w:pStyle w:val="ListParagraph"/>
        <w:numPr>
          <w:ilvl w:val="0"/>
          <w:numId w:val="5"/>
        </w:numPr>
        <w:spacing w:after="0" w:line="240" w:lineRule="auto"/>
        <w:rPr>
          <w:rFonts w:cstheme="minorHAnsi"/>
        </w:rPr>
      </w:pPr>
      <w:r w:rsidRPr="001E69F9">
        <w:rPr>
          <w:rFonts w:cstheme="minorHAnsi"/>
        </w:rPr>
        <w:t xml:space="preserve">As the PUC further develops its policy direction, the timeline of study needs to be extended beyond 2026 to appropriately model the cost and impacts of the new programs and the likely resource mix when the programs go into effect. </w:t>
      </w:r>
    </w:p>
    <w:p w14:paraId="38B841D6" w14:textId="501FA305" w:rsidR="00DC380B" w:rsidRDefault="00DC380B" w:rsidP="00341DCE">
      <w:pPr>
        <w:pStyle w:val="ListParagraph"/>
        <w:numPr>
          <w:ilvl w:val="0"/>
          <w:numId w:val="5"/>
        </w:numPr>
        <w:spacing w:after="0" w:line="240" w:lineRule="auto"/>
        <w:rPr>
          <w:rFonts w:cstheme="minorHAnsi"/>
        </w:rPr>
      </w:pPr>
      <w:r w:rsidRPr="00DC380B">
        <w:rPr>
          <w:rFonts w:cstheme="minorHAnsi"/>
        </w:rPr>
        <w:t>Modeling based on a 1-in-10 reliability standard fails to appropriately capture the probability of long duration loss of load events in grids with high wind and solar penetration.</w:t>
      </w:r>
    </w:p>
    <w:p w14:paraId="1E5F26C2" w14:textId="14967C89" w:rsidR="00A051B7" w:rsidRDefault="00A051B7" w:rsidP="00341DCE">
      <w:pPr>
        <w:pStyle w:val="ListParagraph"/>
        <w:numPr>
          <w:ilvl w:val="0"/>
          <w:numId w:val="5"/>
        </w:numPr>
        <w:spacing w:after="0" w:line="240" w:lineRule="auto"/>
        <w:rPr>
          <w:rFonts w:cstheme="minorHAnsi"/>
        </w:rPr>
      </w:pPr>
      <w:r w:rsidRPr="00A051B7">
        <w:rPr>
          <w:rFonts w:cstheme="minorHAnsi"/>
        </w:rPr>
        <w:t>The cost of the high-renewable scenario is substantially lower than in the reference scenario, whereas numerous other models show costs increasing substantially above 50% wind and solar penetration.</w:t>
      </w:r>
      <w:r w:rsidR="004321BE">
        <w:rPr>
          <w:rFonts w:cstheme="minorHAnsi"/>
        </w:rPr>
        <w:t xml:space="preserve"> This is a cause for concern with the design of the model.</w:t>
      </w:r>
    </w:p>
    <w:p w14:paraId="3FD4C10D" w14:textId="77777777" w:rsidR="004321BE" w:rsidRDefault="004321BE" w:rsidP="00341DCE">
      <w:pPr>
        <w:spacing w:after="0" w:line="240" w:lineRule="auto"/>
        <w:rPr>
          <w:rFonts w:cstheme="minorHAnsi"/>
        </w:rPr>
      </w:pPr>
    </w:p>
    <w:p w14:paraId="1AD596CA" w14:textId="67BC1F1F" w:rsidR="007D0EE9" w:rsidRPr="005F26D4" w:rsidRDefault="007D0EE9" w:rsidP="00341DCE">
      <w:pPr>
        <w:spacing w:after="0" w:line="240" w:lineRule="auto"/>
        <w:rPr>
          <w:rFonts w:cstheme="minorHAnsi"/>
        </w:rPr>
      </w:pPr>
      <w:r>
        <w:rPr>
          <w:rFonts w:cstheme="minorHAnsi"/>
          <w:b/>
          <w:bCs/>
        </w:rPr>
        <w:t>Suggestions for Improvements to the PCM Concept</w:t>
      </w:r>
    </w:p>
    <w:p w14:paraId="49811F97" w14:textId="77777777" w:rsidR="004624FD" w:rsidRDefault="004624FD" w:rsidP="00341DCE">
      <w:pPr>
        <w:pStyle w:val="ListParagraph"/>
        <w:numPr>
          <w:ilvl w:val="0"/>
          <w:numId w:val="6"/>
        </w:numPr>
        <w:spacing w:line="240" w:lineRule="auto"/>
        <w:rPr>
          <w:rFonts w:cstheme="minorHAnsi"/>
        </w:rPr>
      </w:pPr>
      <w:r w:rsidRPr="004624FD">
        <w:rPr>
          <w:rFonts w:cstheme="minorHAnsi"/>
        </w:rPr>
        <w:t>Size the service to reduce net peak load variability.</w:t>
      </w:r>
      <w:r w:rsidRPr="004624FD">
        <w:rPr>
          <w:rFonts w:cstheme="minorHAnsi"/>
          <w:b/>
          <w:bCs/>
        </w:rPr>
        <w:t xml:space="preserve"> </w:t>
      </w:r>
    </w:p>
    <w:p w14:paraId="4D1B9264" w14:textId="4497F5AA" w:rsidR="008A1839" w:rsidRDefault="004624FD" w:rsidP="00341DCE">
      <w:pPr>
        <w:pStyle w:val="ListParagraph"/>
        <w:numPr>
          <w:ilvl w:val="0"/>
          <w:numId w:val="6"/>
        </w:numPr>
        <w:spacing w:line="240" w:lineRule="auto"/>
        <w:rPr>
          <w:rFonts w:cstheme="minorHAnsi"/>
        </w:rPr>
      </w:pPr>
      <w:r>
        <w:rPr>
          <w:rFonts w:cstheme="minorHAnsi"/>
        </w:rPr>
        <w:t>E</w:t>
      </w:r>
      <w:r w:rsidR="00EF690A">
        <w:rPr>
          <w:rFonts w:cstheme="minorHAnsi"/>
        </w:rPr>
        <w:t>nsure</w:t>
      </w:r>
      <w:r w:rsidR="00B10985" w:rsidRPr="005F26D4">
        <w:rPr>
          <w:rFonts w:cstheme="minorHAnsi"/>
        </w:rPr>
        <w:t xml:space="preserve"> that non-firmed </w:t>
      </w:r>
      <w:r w:rsidR="005F26D4" w:rsidRPr="005F26D4">
        <w:rPr>
          <w:rFonts w:cstheme="minorHAnsi"/>
        </w:rPr>
        <w:t xml:space="preserve">wind and solar generators </w:t>
      </w:r>
      <w:r w:rsidR="00B10985" w:rsidRPr="005F26D4">
        <w:rPr>
          <w:rFonts w:cstheme="minorHAnsi"/>
        </w:rPr>
        <w:t>are not eligible</w:t>
      </w:r>
      <w:r>
        <w:rPr>
          <w:rFonts w:cstheme="minorHAnsi"/>
        </w:rPr>
        <w:t xml:space="preserve"> for the service</w:t>
      </w:r>
      <w:r w:rsidR="00B10985" w:rsidRPr="005F26D4">
        <w:rPr>
          <w:rFonts w:cstheme="minorHAnsi"/>
        </w:rPr>
        <w:t xml:space="preserve">. </w:t>
      </w:r>
    </w:p>
    <w:p w14:paraId="08B981E9" w14:textId="7216F206" w:rsidR="00B10985" w:rsidRPr="00B10985" w:rsidRDefault="00EF690A" w:rsidP="00341DCE">
      <w:pPr>
        <w:pStyle w:val="ListParagraph"/>
        <w:numPr>
          <w:ilvl w:val="0"/>
          <w:numId w:val="6"/>
        </w:numPr>
        <w:spacing w:line="240" w:lineRule="auto"/>
        <w:rPr>
          <w:rFonts w:cstheme="minorHAnsi"/>
        </w:rPr>
      </w:pPr>
      <w:r w:rsidRPr="00EF690A">
        <w:rPr>
          <w:rFonts w:cstheme="minorHAnsi"/>
        </w:rPr>
        <w:t>Ensure that the service minimizes or eliminates the need for the ORDC and frequent use of reliability unit commitments</w:t>
      </w:r>
      <w:r w:rsidR="00B10985" w:rsidRPr="00B10985">
        <w:rPr>
          <w:rFonts w:cstheme="minorHAnsi"/>
        </w:rPr>
        <w:t>.</w:t>
      </w:r>
    </w:p>
    <w:p w14:paraId="05C5AAB4" w14:textId="42E8992A" w:rsidR="007D0EE9" w:rsidRPr="002B6DD4" w:rsidRDefault="00843165" w:rsidP="00EF690A">
      <w:pPr>
        <w:pStyle w:val="ListParagraph"/>
        <w:numPr>
          <w:ilvl w:val="0"/>
          <w:numId w:val="6"/>
        </w:numPr>
        <w:spacing w:line="240" w:lineRule="auto"/>
        <w:rPr>
          <w:rFonts w:cstheme="minorHAnsi"/>
        </w:rPr>
      </w:pPr>
      <w:r w:rsidRPr="00843165">
        <w:rPr>
          <w:rFonts w:cstheme="minorHAnsi"/>
        </w:rPr>
        <w:t xml:space="preserve">Create a mechanism to allocate the cost of the service back to the entities </w:t>
      </w:r>
      <w:r w:rsidR="00064BDA">
        <w:rPr>
          <w:rFonts w:cstheme="minorHAnsi"/>
        </w:rPr>
        <w:t>that</w:t>
      </w:r>
      <w:r w:rsidRPr="00843165">
        <w:rPr>
          <w:rFonts w:cstheme="minorHAnsi"/>
        </w:rPr>
        <w:t xml:space="preserve"> most contribute to the strain on the system during net peak load hours. Under this holistic approach, the cost allocation will be applied to a combination of non-performing thermal generation, non-firmed renewables, and load, which will encourage demand response and/or conservation.</w:t>
      </w:r>
    </w:p>
    <w:sectPr w:rsidR="007D0EE9" w:rsidRPr="002B6D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DCD9" w14:textId="77777777" w:rsidR="00822967" w:rsidRDefault="00822967" w:rsidP="008253F5">
      <w:pPr>
        <w:spacing w:after="0" w:line="240" w:lineRule="auto"/>
      </w:pPr>
      <w:r>
        <w:separator/>
      </w:r>
    </w:p>
  </w:endnote>
  <w:endnote w:type="continuationSeparator" w:id="0">
    <w:p w14:paraId="0AC0F68A" w14:textId="77777777" w:rsidR="00822967" w:rsidRDefault="00822967" w:rsidP="008253F5">
      <w:pPr>
        <w:spacing w:after="0" w:line="240" w:lineRule="auto"/>
      </w:pPr>
      <w:r>
        <w:continuationSeparator/>
      </w:r>
    </w:p>
  </w:endnote>
  <w:endnote w:type="continuationNotice" w:id="1">
    <w:p w14:paraId="5BB29661" w14:textId="77777777" w:rsidR="00822967" w:rsidRDefault="00822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35C3" w14:textId="77777777" w:rsidR="00822967" w:rsidRDefault="00822967" w:rsidP="008253F5">
      <w:pPr>
        <w:spacing w:after="0" w:line="240" w:lineRule="auto"/>
      </w:pPr>
      <w:r>
        <w:separator/>
      </w:r>
    </w:p>
  </w:footnote>
  <w:footnote w:type="continuationSeparator" w:id="0">
    <w:p w14:paraId="23711C8D" w14:textId="77777777" w:rsidR="00822967" w:rsidRDefault="00822967" w:rsidP="008253F5">
      <w:pPr>
        <w:spacing w:after="0" w:line="240" w:lineRule="auto"/>
      </w:pPr>
      <w:r>
        <w:continuationSeparator/>
      </w:r>
    </w:p>
  </w:footnote>
  <w:footnote w:type="continuationNotice" w:id="1">
    <w:p w14:paraId="39417836" w14:textId="77777777" w:rsidR="00822967" w:rsidRDefault="00822967">
      <w:pPr>
        <w:spacing w:after="0" w:line="240" w:lineRule="auto"/>
      </w:pPr>
    </w:p>
  </w:footnote>
  <w:footnote w:id="2">
    <w:p w14:paraId="5F1BD951" w14:textId="5EE0A1BA" w:rsidR="008253F5" w:rsidRDefault="008253F5" w:rsidP="008253F5">
      <w:pPr>
        <w:pStyle w:val="FootnoteText"/>
      </w:pPr>
      <w:r>
        <w:rPr>
          <w:rStyle w:val="FootnoteReference"/>
        </w:rPr>
        <w:footnoteRef/>
      </w:r>
      <w:r>
        <w:t xml:space="preserve"> Ben Haguewood, “Re: </w:t>
      </w:r>
      <w:r w:rsidR="00585F3C">
        <w:t>November 10</w:t>
      </w:r>
      <w:r w:rsidR="005B25E1">
        <w:t xml:space="preserve">, 2022 Open Meeting, Item No. 5 – Project No. 52373 – Review of Wholesale Market </w:t>
      </w:r>
      <w:r w:rsidR="00A62AB5">
        <w:t>Design</w:t>
      </w:r>
      <w:r>
        <w:t xml:space="preserve">,” (Memorandum, Public Utility Commission of Texas, </w:t>
      </w:r>
      <w:r w:rsidR="003E2E42">
        <w:t>November 9, 2022</w:t>
      </w:r>
      <w:r>
        <w:t xml:space="preserve">), </w:t>
      </w:r>
      <w:hyperlink r:id="rId1" w:history="1">
        <w:r w:rsidR="006F133A" w:rsidRPr="00694E5D">
          <w:rPr>
            <w:rStyle w:val="Hyperlink"/>
          </w:rPr>
          <w:t>https://interchange.puc.texas.gov/search/documents/?controlNumber=54335&amp;itemNumber=2</w:t>
        </w:r>
      </w:hyperlink>
      <w:r>
        <w:t>.</w:t>
      </w:r>
    </w:p>
  </w:footnote>
  <w:footnote w:id="3">
    <w:p w14:paraId="16DAB754" w14:textId="00928F6B" w:rsidR="00976F9C" w:rsidRDefault="00976F9C">
      <w:pPr>
        <w:pStyle w:val="FootnoteText"/>
      </w:pPr>
      <w:r>
        <w:rPr>
          <w:rStyle w:val="FootnoteReference"/>
        </w:rPr>
        <w:footnoteRef/>
      </w:r>
      <w:r>
        <w:t xml:space="preserve"> </w:t>
      </w:r>
      <w:r w:rsidR="007545ED">
        <w:t>“Clean Energy in Texas,</w:t>
      </w:r>
      <w:r w:rsidR="00D813EC">
        <w:t>”</w:t>
      </w:r>
      <w:r w:rsidR="007545ED">
        <w:t xml:space="preserve"> </w:t>
      </w:r>
      <w:r w:rsidR="00D813EC">
        <w:t xml:space="preserve">American Clean Power Association, </w:t>
      </w:r>
      <w:r w:rsidR="00323157">
        <w:t xml:space="preserve">August 2022, </w:t>
      </w:r>
      <w:hyperlink r:id="rId2" w:history="1">
        <w:r w:rsidR="00323157" w:rsidRPr="005E08F3">
          <w:rPr>
            <w:rStyle w:val="Hyperlink"/>
          </w:rPr>
          <w:t>https://cleanpower.org/wp-content/uploads/2022/08/ACP_StateFactSheet_Texas.pdf</w:t>
        </w:r>
      </w:hyperlink>
      <w:r w:rsidR="00323157">
        <w:t>.</w:t>
      </w:r>
    </w:p>
  </w:footnote>
  <w:footnote w:id="4">
    <w:p w14:paraId="540ADEF7" w14:textId="1203808F" w:rsidR="000148EF" w:rsidRDefault="000148EF">
      <w:pPr>
        <w:pStyle w:val="FootnoteText"/>
      </w:pPr>
      <w:r>
        <w:rPr>
          <w:rStyle w:val="FootnoteReference"/>
        </w:rPr>
        <w:footnoteRef/>
      </w:r>
      <w:r>
        <w:t xml:space="preserve"> </w:t>
      </w:r>
      <w:r w:rsidR="00976F9C">
        <w:t xml:space="preserve">Bill Peacock, </w:t>
      </w:r>
      <w:r w:rsidR="00063E01">
        <w:rPr>
          <w:i/>
          <w:iCs/>
        </w:rPr>
        <w:t xml:space="preserve">Subsidies to Nowhere: A Year-by-Year Estimate of Renewable Energy </w:t>
      </w:r>
      <w:r w:rsidR="00182F82">
        <w:rPr>
          <w:i/>
          <w:iCs/>
        </w:rPr>
        <w:t>Subsidy Costs for Texas and for the U.S.</w:t>
      </w:r>
      <w:r w:rsidR="00976F9C">
        <w:t>,</w:t>
      </w:r>
      <w:r w:rsidR="00182F82">
        <w:t xml:space="preserve"> June 2021,</w:t>
      </w:r>
      <w:r w:rsidR="00976F9C">
        <w:t xml:space="preserve"> </w:t>
      </w:r>
      <w:hyperlink r:id="rId3" w:history="1">
        <w:r w:rsidR="00063E01" w:rsidRPr="005E08F3">
          <w:rPr>
            <w:rStyle w:val="Hyperlink"/>
          </w:rPr>
          <w:t>https://www.theenergyalliance.com/research/subsidies-to-nowhere</w:t>
        </w:r>
      </w:hyperlink>
      <w:r w:rsidR="00063E01">
        <w:t>.</w:t>
      </w:r>
    </w:p>
  </w:footnote>
  <w:footnote w:id="5">
    <w:p w14:paraId="7C502A21" w14:textId="0DDA0E14" w:rsidR="00EC4644" w:rsidRDefault="00EC4644">
      <w:pPr>
        <w:pStyle w:val="FootnoteText"/>
      </w:pPr>
      <w:r>
        <w:rPr>
          <w:rStyle w:val="FootnoteReference"/>
        </w:rPr>
        <w:footnoteRef/>
      </w:r>
      <w:r>
        <w:t xml:space="preserve"> </w:t>
      </w:r>
      <w:r w:rsidR="00C623C0" w:rsidRPr="00770A3E">
        <w:t>Brent Bennett</w:t>
      </w:r>
      <w:r w:rsidR="00C623C0">
        <w:t>, Katie Tahuahua, and Mike Nasi</w:t>
      </w:r>
      <w:r w:rsidR="00C623C0" w:rsidRPr="00770A3E">
        <w:t xml:space="preserve">, </w:t>
      </w:r>
      <w:r w:rsidR="00C623C0">
        <w:rPr>
          <w:i/>
          <w:iCs/>
        </w:rPr>
        <w:t>Pushed to the Brink: The 2021 Electric Grid Crisis and How Texas is Responding</w:t>
      </w:r>
      <w:r w:rsidR="00C623C0" w:rsidRPr="00770A3E">
        <w:t xml:space="preserve">, </w:t>
      </w:r>
      <w:r w:rsidR="003525B0">
        <w:t>Life:Powered</w:t>
      </w:r>
      <w:r w:rsidR="00C623C0" w:rsidRPr="00770A3E">
        <w:t xml:space="preserve">, </w:t>
      </w:r>
      <w:r w:rsidR="00C623C0">
        <w:t>August 2022</w:t>
      </w:r>
      <w:r w:rsidR="00C623C0" w:rsidRPr="00770A3E">
        <w:t>,</w:t>
      </w:r>
      <w:r w:rsidR="00C623C0">
        <w:t xml:space="preserve"> p. 2</w:t>
      </w:r>
      <w:r w:rsidR="003B0849">
        <w:t>3</w:t>
      </w:r>
      <w:r w:rsidR="00C623C0">
        <w:t xml:space="preserve"> </w:t>
      </w:r>
      <w:hyperlink r:id="rId4" w:history="1">
        <w:r w:rsidR="00C623C0" w:rsidRPr="005E08F3">
          <w:rPr>
            <w:rStyle w:val="Hyperlink"/>
          </w:rPr>
          <w:t>https://lifepowered.org/pushed-to-the-brink-the-2021-electric-grid-crisis-and-how-texas-is-responding/</w:t>
        </w:r>
      </w:hyperlink>
      <w:r w:rsidR="00C623C0">
        <w:t>.</w:t>
      </w:r>
    </w:p>
  </w:footnote>
  <w:footnote w:id="6">
    <w:p w14:paraId="6A161B83" w14:textId="77777777" w:rsidR="00B27A47" w:rsidRPr="00633BAF" w:rsidRDefault="00B27A47" w:rsidP="00B27A47">
      <w:pPr>
        <w:pStyle w:val="FootnoteText"/>
      </w:pPr>
      <w:r>
        <w:rPr>
          <w:rStyle w:val="FootnoteReference"/>
        </w:rPr>
        <w:footnoteRef/>
      </w:r>
      <w:r>
        <w:t xml:space="preserve"> </w:t>
      </w:r>
      <w:r w:rsidRPr="00AA3D54">
        <w:t>B</w:t>
      </w:r>
      <w:r>
        <w:t>rent Bennett,</w:t>
      </w:r>
      <w:r w:rsidRPr="00AA3D54">
        <w:t xml:space="preserve"> </w:t>
      </w:r>
      <w:r w:rsidRPr="00AA3D54">
        <w:rPr>
          <w:i/>
          <w:iCs/>
        </w:rPr>
        <w:t>Improving the ERCOT grid through a reliability requirement for variable generation</w:t>
      </w:r>
      <w:r w:rsidRPr="00AA3D54">
        <w:t>. Life:Powered</w:t>
      </w:r>
      <w:r>
        <w:t>, October 2021,</w:t>
      </w:r>
      <w:r w:rsidRPr="00AA3D54">
        <w:t xml:space="preserve"> </w:t>
      </w:r>
      <w:hyperlink r:id="rId5" w:history="1">
        <w:r w:rsidRPr="005E08F3">
          <w:rPr>
            <w:rStyle w:val="Hyperlink"/>
          </w:rPr>
          <w:t>https://lifepowered.org/improving-the-ercot-grid-through-a-reliability-requirement-for-variable-generation/</w:t>
        </w:r>
      </w:hyperlink>
      <w:r>
        <w:t>.</w:t>
      </w:r>
    </w:p>
  </w:footnote>
  <w:footnote w:id="7">
    <w:p w14:paraId="50D210BA" w14:textId="05FA1958" w:rsidR="00FD6CFE" w:rsidRDefault="00FD6CFE" w:rsidP="00FD6CFE">
      <w:pPr>
        <w:pStyle w:val="FootnoteText"/>
      </w:pPr>
      <w:r>
        <w:rPr>
          <w:rStyle w:val="FootnoteReference"/>
        </w:rPr>
        <w:footnoteRef/>
      </w:r>
      <w:r>
        <w:t xml:space="preserve"> </w:t>
      </w:r>
      <w:r w:rsidRPr="00A12542">
        <w:t xml:space="preserve">Potomac Economics, </w:t>
      </w:r>
      <w:r w:rsidR="00EC68DF" w:rsidRPr="00EC68DF">
        <w:rPr>
          <w:i/>
          <w:iCs/>
        </w:rPr>
        <w:t>2020 state of the market report for the ERCOT electricity markets</w:t>
      </w:r>
      <w:r w:rsidR="00EC68DF">
        <w:t xml:space="preserve">, </w:t>
      </w:r>
      <w:r w:rsidR="00D167A0">
        <w:t xml:space="preserve">June 2021, </w:t>
      </w:r>
      <w:r w:rsidR="00EC68DF">
        <w:t>p.</w:t>
      </w:r>
      <w:r w:rsidR="00EC68DF" w:rsidRPr="00A12542">
        <w:t xml:space="preserve"> 72</w:t>
      </w:r>
      <w:r w:rsidR="00B941CA">
        <w:t>-</w:t>
      </w:r>
      <w:r w:rsidR="00EC68DF" w:rsidRPr="00A12542">
        <w:t>73</w:t>
      </w:r>
      <w:r w:rsidR="00EC68DF">
        <w:t xml:space="preserve">, </w:t>
      </w:r>
      <w:hyperlink r:id="rId6" w:history="1">
        <w:r w:rsidR="00B941CA" w:rsidRPr="005E08F3">
          <w:rPr>
            <w:rStyle w:val="Hyperlink"/>
          </w:rPr>
          <w:t>https://www.potomaceconomics.com/wp-content/uploads/2021/06/2020-ERCOT-State-of-the-Market-Report.pdf</w:t>
        </w:r>
      </w:hyperlink>
      <w:r w:rsidR="00B941CA">
        <w:t xml:space="preserve">. </w:t>
      </w:r>
    </w:p>
  </w:footnote>
  <w:footnote w:id="8">
    <w:p w14:paraId="2D2644C1" w14:textId="32C70BB1" w:rsidR="00825451" w:rsidRDefault="00825451">
      <w:pPr>
        <w:pStyle w:val="FootnoteText"/>
      </w:pPr>
      <w:r>
        <w:rPr>
          <w:rStyle w:val="FootnoteReference"/>
        </w:rPr>
        <w:footnoteRef/>
      </w:r>
      <w:r>
        <w:t xml:space="preserve"> </w:t>
      </w:r>
      <w:r w:rsidR="00146A2B">
        <w:t xml:space="preserve">Jason </w:t>
      </w:r>
      <w:r w:rsidR="00403C1B" w:rsidRPr="00403C1B">
        <w:t>Isaac</w:t>
      </w:r>
      <w:r w:rsidR="00146A2B">
        <w:t xml:space="preserve"> and Brent</w:t>
      </w:r>
      <w:r w:rsidR="00403C1B" w:rsidRPr="00403C1B">
        <w:t xml:space="preserve"> Bennett</w:t>
      </w:r>
      <w:r w:rsidR="00FD0C26">
        <w:t>,</w:t>
      </w:r>
      <w:r w:rsidR="00403C1B" w:rsidRPr="00403C1B">
        <w:t xml:space="preserve"> </w:t>
      </w:r>
      <w:r w:rsidR="00FD0C26">
        <w:t>“</w:t>
      </w:r>
      <w:r w:rsidR="00403C1B" w:rsidRPr="00403C1B">
        <w:t>Public comment on PUC project no. 52373</w:t>
      </w:r>
      <w:r w:rsidR="00FD0C26">
        <w:t>,”</w:t>
      </w:r>
      <w:r w:rsidR="00403C1B" w:rsidRPr="00403C1B">
        <w:t xml:space="preserve"> Life:Powered</w:t>
      </w:r>
      <w:r w:rsidR="00FD0C26">
        <w:t>,</w:t>
      </w:r>
      <w:r w:rsidR="00403C1B" w:rsidRPr="00403C1B">
        <w:t xml:space="preserve"> </w:t>
      </w:r>
      <w:r w:rsidR="00146A2B">
        <w:t>March</w:t>
      </w:r>
      <w:r w:rsidR="00FD0C26">
        <w:t xml:space="preserve"> 2022, </w:t>
      </w:r>
      <w:hyperlink r:id="rId7" w:history="1">
        <w:r w:rsidR="00FD0C26" w:rsidRPr="00DA756D">
          <w:rPr>
            <w:rStyle w:val="Hyperlink"/>
          </w:rPr>
          <w:t>https://interchange.puc.texas.gov/Documents/52373_354_1195083.PDF</w:t>
        </w:r>
      </w:hyperlink>
      <w:r w:rsidR="00403C1B">
        <w:t>.</w:t>
      </w:r>
    </w:p>
  </w:footnote>
  <w:footnote w:id="9">
    <w:p w14:paraId="192E896F" w14:textId="35FDADE4" w:rsidR="001D5BD3" w:rsidRDefault="001D5BD3">
      <w:pPr>
        <w:pStyle w:val="FootnoteText"/>
      </w:pPr>
      <w:r>
        <w:rPr>
          <w:rStyle w:val="FootnoteReference"/>
        </w:rPr>
        <w:footnoteRef/>
      </w:r>
      <w:r>
        <w:t xml:space="preserve"> </w:t>
      </w:r>
      <w:r w:rsidR="00580E41" w:rsidRPr="00580E41">
        <w:t xml:space="preserve">Greg Abbott, “Letter to the Commissioners of the Public Utility Commission of Texas,” Office of the Governor of Texas, July </w:t>
      </w:r>
      <w:r w:rsidR="00580E41">
        <w:t xml:space="preserve">2021, </w:t>
      </w:r>
      <w:hyperlink r:id="rId8" w:history="1">
        <w:r w:rsidR="00580E41" w:rsidRPr="00580E41">
          <w:rPr>
            <w:rStyle w:val="Hyperlink"/>
          </w:rPr>
          <w:t>https://gov.texas.gov/uploads/files/press/SCAN_20210706130409.pdf</w:t>
        </w:r>
      </w:hyperlink>
      <w:r w:rsidR="00580E41" w:rsidRPr="00580E41">
        <w:t>.</w:t>
      </w:r>
    </w:p>
  </w:footnote>
  <w:footnote w:id="10">
    <w:p w14:paraId="1586DEA5" w14:textId="77777777" w:rsidR="005519C5" w:rsidRDefault="005519C5" w:rsidP="005519C5">
      <w:pPr>
        <w:pStyle w:val="FootnoteText"/>
      </w:pPr>
      <w:r>
        <w:rPr>
          <w:rStyle w:val="FootnoteReference"/>
        </w:rPr>
        <w:footnoteRef/>
      </w:r>
      <w:r>
        <w:t xml:space="preserve"> </w:t>
      </w:r>
      <w:r w:rsidRPr="006A157C">
        <w:t>Isaac and Bennett, “Public comment on PUC project no. 52373</w:t>
      </w:r>
      <w:r>
        <w:t>.</w:t>
      </w:r>
      <w:r w:rsidRPr="006A157C">
        <w:t>”</w:t>
      </w:r>
    </w:p>
  </w:footnote>
  <w:footnote w:id="11">
    <w:p w14:paraId="2936B065" w14:textId="50CB8398" w:rsidR="00803086" w:rsidRDefault="00803086">
      <w:pPr>
        <w:pStyle w:val="FootnoteText"/>
      </w:pPr>
      <w:r>
        <w:rPr>
          <w:rStyle w:val="FootnoteReference"/>
        </w:rPr>
        <w:footnoteRef/>
      </w:r>
      <w:r>
        <w:t xml:space="preserve"> </w:t>
      </w:r>
      <w:r w:rsidR="00D66357" w:rsidRPr="00D66357">
        <w:t>Federal Energy Regulatory Commission</w:t>
      </w:r>
      <w:r w:rsidR="00AA3D54">
        <w:t>,</w:t>
      </w:r>
      <w:r w:rsidR="00D66357" w:rsidRPr="00D66357">
        <w:t xml:space="preserve"> </w:t>
      </w:r>
      <w:r w:rsidR="00D66357" w:rsidRPr="00D66357">
        <w:rPr>
          <w:i/>
          <w:iCs/>
        </w:rPr>
        <w:t>The February 2021 cold weather outages in Texas and the south central United States</w:t>
      </w:r>
      <w:r w:rsidR="00AA3D54">
        <w:t>, November 2021,</w:t>
      </w:r>
      <w:r w:rsidR="00D66357" w:rsidRPr="00D66357">
        <w:t xml:space="preserve"> </w:t>
      </w:r>
      <w:hyperlink r:id="rId9" w:history="1">
        <w:r w:rsidR="00D66357" w:rsidRPr="005E08F3">
          <w:rPr>
            <w:rStyle w:val="Hyperlink"/>
          </w:rPr>
          <w:t>https://www.ferc.gov/media/february-2021-cold-weather-outages-texas-and-south-central-united-states-ferc-nerc-and</w:t>
        </w:r>
      </w:hyperlink>
      <w:r w:rsidR="00AA3D54">
        <w:t>.</w:t>
      </w:r>
    </w:p>
  </w:footnote>
  <w:footnote w:id="12">
    <w:p w14:paraId="0B2506C5" w14:textId="77777777" w:rsidR="00104BE3" w:rsidRPr="00C93DE7" w:rsidRDefault="00104BE3" w:rsidP="00104BE3">
      <w:pPr>
        <w:pStyle w:val="FootnoteText"/>
        <w:rPr>
          <w:i/>
          <w:iCs/>
        </w:rPr>
      </w:pPr>
      <w:r>
        <w:rPr>
          <w:rStyle w:val="FootnoteReference"/>
        </w:rPr>
        <w:footnoteRef/>
      </w:r>
      <w:r>
        <w:t xml:space="preserve"> Brent Bennett, </w:t>
      </w:r>
      <w:r>
        <w:rPr>
          <w:i/>
          <w:iCs/>
        </w:rPr>
        <w:t xml:space="preserve">Green New Deal Will Put Texas in the Red: </w:t>
      </w:r>
      <w:r w:rsidRPr="00C93DE7">
        <w:rPr>
          <w:i/>
          <w:iCs/>
        </w:rPr>
        <w:t>Effects on Texas Electricity Costs and</w:t>
      </w:r>
    </w:p>
    <w:p w14:paraId="2681701C" w14:textId="0E3AC2B6" w:rsidR="00104BE3" w:rsidRPr="0012722C" w:rsidRDefault="00104BE3" w:rsidP="00104BE3">
      <w:pPr>
        <w:pStyle w:val="FootnoteText"/>
      </w:pPr>
      <w:r w:rsidRPr="00C93DE7">
        <w:rPr>
          <w:i/>
          <w:iCs/>
        </w:rPr>
        <w:t>Energy Production up to 2030</w:t>
      </w:r>
      <w:r>
        <w:t xml:space="preserve">, Life:Powered, October 2019, </w:t>
      </w:r>
      <w:hyperlink r:id="rId10" w:history="1">
        <w:r w:rsidRPr="00D7554E">
          <w:rPr>
            <w:rStyle w:val="Hyperlink"/>
          </w:rPr>
          <w:t>https://lifepowered.org/wp-content/uploads/2019/10/2019-08-PP-LP-Bennett-Green-New-Deal.pdf</w:t>
        </w:r>
      </w:hyperlink>
      <w:r>
        <w:t>.</w:t>
      </w:r>
    </w:p>
  </w:footnote>
  <w:footnote w:id="13">
    <w:p w14:paraId="30CC2369" w14:textId="1A63724C" w:rsidR="00A269BC" w:rsidRDefault="00A269BC">
      <w:pPr>
        <w:pStyle w:val="FootnoteText"/>
      </w:pPr>
      <w:r>
        <w:rPr>
          <w:rStyle w:val="FootnoteReference"/>
        </w:rPr>
        <w:footnoteRef/>
      </w:r>
      <w:r>
        <w:t xml:space="preserve"> </w:t>
      </w:r>
      <w:r w:rsidR="00770A3E" w:rsidRPr="00770A3E">
        <w:t>Bennett</w:t>
      </w:r>
      <w:r w:rsidR="00F65747">
        <w:t xml:space="preserve"> et al.</w:t>
      </w:r>
      <w:r w:rsidR="00770A3E" w:rsidRPr="00770A3E">
        <w:t xml:space="preserve">, </w:t>
      </w:r>
      <w:r w:rsidR="001C6E75">
        <w:rPr>
          <w:i/>
          <w:iCs/>
        </w:rPr>
        <w:t>Pushed to the Brink</w:t>
      </w:r>
      <w:r w:rsidR="003525B0">
        <w:t>, p.</w:t>
      </w:r>
      <w:r w:rsidR="000569BA">
        <w:t xml:space="preserve"> 22</w:t>
      </w:r>
      <w:r w:rsidR="003525B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83F02"/>
    <w:multiLevelType w:val="hybridMultilevel"/>
    <w:tmpl w:val="FCD2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322BD"/>
    <w:multiLevelType w:val="hybridMultilevel"/>
    <w:tmpl w:val="B7E2CB50"/>
    <w:lvl w:ilvl="0" w:tplc="56EAB800">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581D20"/>
    <w:multiLevelType w:val="multilevel"/>
    <w:tmpl w:val="1F16E4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8F64201"/>
    <w:multiLevelType w:val="hybridMultilevel"/>
    <w:tmpl w:val="A80A3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B7391"/>
    <w:multiLevelType w:val="hybridMultilevel"/>
    <w:tmpl w:val="817AB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0A2592"/>
    <w:multiLevelType w:val="hybridMultilevel"/>
    <w:tmpl w:val="60DAE7E4"/>
    <w:lvl w:ilvl="0" w:tplc="BE5A072C">
      <w:start w:val="1"/>
      <w:numFmt w:val="decimal"/>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F321C"/>
    <w:multiLevelType w:val="hybridMultilevel"/>
    <w:tmpl w:val="12F8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0F3DA4"/>
    <w:multiLevelType w:val="hybridMultilevel"/>
    <w:tmpl w:val="026A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3590341">
    <w:abstractNumId w:val="1"/>
  </w:num>
  <w:num w:numId="2" w16cid:durableId="1782145292">
    <w:abstractNumId w:val="5"/>
  </w:num>
  <w:num w:numId="3" w16cid:durableId="472984934">
    <w:abstractNumId w:val="4"/>
  </w:num>
  <w:num w:numId="4" w16cid:durableId="1113943947">
    <w:abstractNumId w:val="7"/>
  </w:num>
  <w:num w:numId="5" w16cid:durableId="1722286576">
    <w:abstractNumId w:val="6"/>
  </w:num>
  <w:num w:numId="6" w16cid:durableId="1581938105">
    <w:abstractNumId w:val="0"/>
  </w:num>
  <w:num w:numId="7" w16cid:durableId="2910614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819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88C"/>
    <w:rsid w:val="000148EF"/>
    <w:rsid w:val="0002234D"/>
    <w:rsid w:val="00024B67"/>
    <w:rsid w:val="00030EDA"/>
    <w:rsid w:val="0003323B"/>
    <w:rsid w:val="000352BE"/>
    <w:rsid w:val="0003551A"/>
    <w:rsid w:val="00036159"/>
    <w:rsid w:val="00045D9C"/>
    <w:rsid w:val="0005553B"/>
    <w:rsid w:val="00056142"/>
    <w:rsid w:val="000569BA"/>
    <w:rsid w:val="000569D5"/>
    <w:rsid w:val="00060017"/>
    <w:rsid w:val="00063E01"/>
    <w:rsid w:val="00064B4D"/>
    <w:rsid w:val="00064BDA"/>
    <w:rsid w:val="00066E5E"/>
    <w:rsid w:val="00074C22"/>
    <w:rsid w:val="0007671D"/>
    <w:rsid w:val="0008319C"/>
    <w:rsid w:val="00083855"/>
    <w:rsid w:val="00084B1B"/>
    <w:rsid w:val="0009134B"/>
    <w:rsid w:val="00092FE6"/>
    <w:rsid w:val="00095A85"/>
    <w:rsid w:val="00096BDC"/>
    <w:rsid w:val="000A625D"/>
    <w:rsid w:val="000A7CB1"/>
    <w:rsid w:val="000B6CED"/>
    <w:rsid w:val="000C4878"/>
    <w:rsid w:val="000D3F6C"/>
    <w:rsid w:val="000E0C65"/>
    <w:rsid w:val="000F0382"/>
    <w:rsid w:val="000F5054"/>
    <w:rsid w:val="000F749D"/>
    <w:rsid w:val="00103409"/>
    <w:rsid w:val="001045E3"/>
    <w:rsid w:val="00104B4D"/>
    <w:rsid w:val="00104BE3"/>
    <w:rsid w:val="00105AE2"/>
    <w:rsid w:val="00105E6B"/>
    <w:rsid w:val="0011506B"/>
    <w:rsid w:val="00117D2A"/>
    <w:rsid w:val="00120007"/>
    <w:rsid w:val="001208C3"/>
    <w:rsid w:val="0012358D"/>
    <w:rsid w:val="00126F48"/>
    <w:rsid w:val="0012722C"/>
    <w:rsid w:val="001308E8"/>
    <w:rsid w:val="0013499E"/>
    <w:rsid w:val="00134FA0"/>
    <w:rsid w:val="00136E2A"/>
    <w:rsid w:val="001409C8"/>
    <w:rsid w:val="00143D20"/>
    <w:rsid w:val="00146A2B"/>
    <w:rsid w:val="00150E12"/>
    <w:rsid w:val="00151F2B"/>
    <w:rsid w:val="001719E6"/>
    <w:rsid w:val="00182A53"/>
    <w:rsid w:val="00182F82"/>
    <w:rsid w:val="001A36C4"/>
    <w:rsid w:val="001A4435"/>
    <w:rsid w:val="001B16B0"/>
    <w:rsid w:val="001B60F8"/>
    <w:rsid w:val="001B7C47"/>
    <w:rsid w:val="001C067C"/>
    <w:rsid w:val="001C35C0"/>
    <w:rsid w:val="001C6775"/>
    <w:rsid w:val="001C6E75"/>
    <w:rsid w:val="001D5BD3"/>
    <w:rsid w:val="001D7766"/>
    <w:rsid w:val="001E5F0C"/>
    <w:rsid w:val="001E69F9"/>
    <w:rsid w:val="001F7035"/>
    <w:rsid w:val="002032CB"/>
    <w:rsid w:val="00207571"/>
    <w:rsid w:val="0021480C"/>
    <w:rsid w:val="00230075"/>
    <w:rsid w:val="002339E9"/>
    <w:rsid w:val="002519BE"/>
    <w:rsid w:val="00256CD0"/>
    <w:rsid w:val="00260D45"/>
    <w:rsid w:val="002736FA"/>
    <w:rsid w:val="002766F4"/>
    <w:rsid w:val="0027679F"/>
    <w:rsid w:val="002801A7"/>
    <w:rsid w:val="002839FD"/>
    <w:rsid w:val="00283F81"/>
    <w:rsid w:val="00287B90"/>
    <w:rsid w:val="0029042A"/>
    <w:rsid w:val="00294184"/>
    <w:rsid w:val="002B0000"/>
    <w:rsid w:val="002B4886"/>
    <w:rsid w:val="002B503A"/>
    <w:rsid w:val="002B553F"/>
    <w:rsid w:val="002B6DD4"/>
    <w:rsid w:val="002C2807"/>
    <w:rsid w:val="002C6912"/>
    <w:rsid w:val="002C69BE"/>
    <w:rsid w:val="002E24B7"/>
    <w:rsid w:val="00303AB0"/>
    <w:rsid w:val="00311CB4"/>
    <w:rsid w:val="00312389"/>
    <w:rsid w:val="00317E66"/>
    <w:rsid w:val="0032239B"/>
    <w:rsid w:val="00323157"/>
    <w:rsid w:val="00331577"/>
    <w:rsid w:val="00336695"/>
    <w:rsid w:val="00337E39"/>
    <w:rsid w:val="00341DCE"/>
    <w:rsid w:val="00344751"/>
    <w:rsid w:val="003525B0"/>
    <w:rsid w:val="0037114C"/>
    <w:rsid w:val="00374190"/>
    <w:rsid w:val="00385299"/>
    <w:rsid w:val="00392261"/>
    <w:rsid w:val="003A7C67"/>
    <w:rsid w:val="003B0849"/>
    <w:rsid w:val="003B0E93"/>
    <w:rsid w:val="003B665B"/>
    <w:rsid w:val="003D41FA"/>
    <w:rsid w:val="003D536E"/>
    <w:rsid w:val="003D644F"/>
    <w:rsid w:val="003E117E"/>
    <w:rsid w:val="003E2E42"/>
    <w:rsid w:val="003F7235"/>
    <w:rsid w:val="00400313"/>
    <w:rsid w:val="00403C1B"/>
    <w:rsid w:val="00404C09"/>
    <w:rsid w:val="004132E6"/>
    <w:rsid w:val="00420018"/>
    <w:rsid w:val="00422B4A"/>
    <w:rsid w:val="00425541"/>
    <w:rsid w:val="004274F3"/>
    <w:rsid w:val="00427ED0"/>
    <w:rsid w:val="004321BE"/>
    <w:rsid w:val="00432FCA"/>
    <w:rsid w:val="0043446C"/>
    <w:rsid w:val="00445E65"/>
    <w:rsid w:val="0044654D"/>
    <w:rsid w:val="004528C2"/>
    <w:rsid w:val="00453E82"/>
    <w:rsid w:val="004624FD"/>
    <w:rsid w:val="00463B37"/>
    <w:rsid w:val="0047062D"/>
    <w:rsid w:val="004710D2"/>
    <w:rsid w:val="004753A3"/>
    <w:rsid w:val="004818AF"/>
    <w:rsid w:val="00482213"/>
    <w:rsid w:val="00483C88"/>
    <w:rsid w:val="00484AF2"/>
    <w:rsid w:val="00485C9B"/>
    <w:rsid w:val="00487D40"/>
    <w:rsid w:val="004916F5"/>
    <w:rsid w:val="00494FB6"/>
    <w:rsid w:val="004B0379"/>
    <w:rsid w:val="004B14E4"/>
    <w:rsid w:val="004B7E78"/>
    <w:rsid w:val="004C095C"/>
    <w:rsid w:val="004C312D"/>
    <w:rsid w:val="004C332C"/>
    <w:rsid w:val="004D297F"/>
    <w:rsid w:val="004E1A92"/>
    <w:rsid w:val="004E36C6"/>
    <w:rsid w:val="004F476A"/>
    <w:rsid w:val="004F5B45"/>
    <w:rsid w:val="005017BA"/>
    <w:rsid w:val="0050601B"/>
    <w:rsid w:val="005073BF"/>
    <w:rsid w:val="005163D0"/>
    <w:rsid w:val="00526A53"/>
    <w:rsid w:val="005271A1"/>
    <w:rsid w:val="00533DA3"/>
    <w:rsid w:val="00533ED4"/>
    <w:rsid w:val="005427C5"/>
    <w:rsid w:val="00543229"/>
    <w:rsid w:val="0054360B"/>
    <w:rsid w:val="00544AAE"/>
    <w:rsid w:val="00546958"/>
    <w:rsid w:val="005519C5"/>
    <w:rsid w:val="00564E1E"/>
    <w:rsid w:val="005746E2"/>
    <w:rsid w:val="00580E41"/>
    <w:rsid w:val="005818E1"/>
    <w:rsid w:val="005839F9"/>
    <w:rsid w:val="00585F3C"/>
    <w:rsid w:val="00587CB7"/>
    <w:rsid w:val="005916D5"/>
    <w:rsid w:val="005937B2"/>
    <w:rsid w:val="005A01FD"/>
    <w:rsid w:val="005A54E5"/>
    <w:rsid w:val="005A6057"/>
    <w:rsid w:val="005B2307"/>
    <w:rsid w:val="005B25E1"/>
    <w:rsid w:val="005B40D9"/>
    <w:rsid w:val="005C017E"/>
    <w:rsid w:val="005C5170"/>
    <w:rsid w:val="005C6320"/>
    <w:rsid w:val="005C645D"/>
    <w:rsid w:val="005D0348"/>
    <w:rsid w:val="005D7219"/>
    <w:rsid w:val="005F08B3"/>
    <w:rsid w:val="005F26D4"/>
    <w:rsid w:val="005F5364"/>
    <w:rsid w:val="006050C4"/>
    <w:rsid w:val="00633663"/>
    <w:rsid w:val="00633BAF"/>
    <w:rsid w:val="00633F91"/>
    <w:rsid w:val="006369DF"/>
    <w:rsid w:val="0065112B"/>
    <w:rsid w:val="006533EF"/>
    <w:rsid w:val="00663E3B"/>
    <w:rsid w:val="00675AC1"/>
    <w:rsid w:val="00677F28"/>
    <w:rsid w:val="00681BAC"/>
    <w:rsid w:val="00685DA5"/>
    <w:rsid w:val="006931E3"/>
    <w:rsid w:val="006A157C"/>
    <w:rsid w:val="006C10FE"/>
    <w:rsid w:val="006C4821"/>
    <w:rsid w:val="006D1409"/>
    <w:rsid w:val="006F133A"/>
    <w:rsid w:val="006F4F38"/>
    <w:rsid w:val="006F5490"/>
    <w:rsid w:val="00700450"/>
    <w:rsid w:val="00704B67"/>
    <w:rsid w:val="00706FB6"/>
    <w:rsid w:val="00710413"/>
    <w:rsid w:val="00714DC9"/>
    <w:rsid w:val="007178BF"/>
    <w:rsid w:val="0072326F"/>
    <w:rsid w:val="00734102"/>
    <w:rsid w:val="00735C87"/>
    <w:rsid w:val="00737A83"/>
    <w:rsid w:val="0074112D"/>
    <w:rsid w:val="00741A4E"/>
    <w:rsid w:val="00746604"/>
    <w:rsid w:val="00752B9F"/>
    <w:rsid w:val="007545ED"/>
    <w:rsid w:val="007559F1"/>
    <w:rsid w:val="00760137"/>
    <w:rsid w:val="007628A0"/>
    <w:rsid w:val="007653DB"/>
    <w:rsid w:val="00770A3E"/>
    <w:rsid w:val="00771BCA"/>
    <w:rsid w:val="00774324"/>
    <w:rsid w:val="00777ED1"/>
    <w:rsid w:val="00785310"/>
    <w:rsid w:val="0079001B"/>
    <w:rsid w:val="007904E5"/>
    <w:rsid w:val="00797FCB"/>
    <w:rsid w:val="007A1471"/>
    <w:rsid w:val="007A215A"/>
    <w:rsid w:val="007A6DF8"/>
    <w:rsid w:val="007B2721"/>
    <w:rsid w:val="007C2BD9"/>
    <w:rsid w:val="007C6C47"/>
    <w:rsid w:val="007D0EE9"/>
    <w:rsid w:val="007D5456"/>
    <w:rsid w:val="007E0427"/>
    <w:rsid w:val="007E4CB9"/>
    <w:rsid w:val="007E62CE"/>
    <w:rsid w:val="007E7884"/>
    <w:rsid w:val="007F04C7"/>
    <w:rsid w:val="00803086"/>
    <w:rsid w:val="0080455B"/>
    <w:rsid w:val="00810F54"/>
    <w:rsid w:val="00816062"/>
    <w:rsid w:val="00820DEB"/>
    <w:rsid w:val="00822834"/>
    <w:rsid w:val="00822967"/>
    <w:rsid w:val="00822D5E"/>
    <w:rsid w:val="00823790"/>
    <w:rsid w:val="008253F5"/>
    <w:rsid w:val="00825451"/>
    <w:rsid w:val="00827BF2"/>
    <w:rsid w:val="0083641B"/>
    <w:rsid w:val="0084198B"/>
    <w:rsid w:val="00843165"/>
    <w:rsid w:val="00851C2C"/>
    <w:rsid w:val="00854434"/>
    <w:rsid w:val="0086277A"/>
    <w:rsid w:val="00864510"/>
    <w:rsid w:val="00872763"/>
    <w:rsid w:val="00880412"/>
    <w:rsid w:val="00891725"/>
    <w:rsid w:val="008A0721"/>
    <w:rsid w:val="008A1839"/>
    <w:rsid w:val="008A54C0"/>
    <w:rsid w:val="008A572D"/>
    <w:rsid w:val="008A5B97"/>
    <w:rsid w:val="008B3209"/>
    <w:rsid w:val="008B53AF"/>
    <w:rsid w:val="008C35A5"/>
    <w:rsid w:val="008C544A"/>
    <w:rsid w:val="008C7645"/>
    <w:rsid w:val="008D2607"/>
    <w:rsid w:val="008E1DDC"/>
    <w:rsid w:val="008E2F4B"/>
    <w:rsid w:val="008E45B7"/>
    <w:rsid w:val="008E4EA2"/>
    <w:rsid w:val="008E62AA"/>
    <w:rsid w:val="008F0262"/>
    <w:rsid w:val="008F0E8B"/>
    <w:rsid w:val="008F6342"/>
    <w:rsid w:val="009008EA"/>
    <w:rsid w:val="00904BB2"/>
    <w:rsid w:val="00906F65"/>
    <w:rsid w:val="009120DC"/>
    <w:rsid w:val="00912520"/>
    <w:rsid w:val="00913944"/>
    <w:rsid w:val="00914F12"/>
    <w:rsid w:val="00917383"/>
    <w:rsid w:val="00920CBA"/>
    <w:rsid w:val="00921AB7"/>
    <w:rsid w:val="00922129"/>
    <w:rsid w:val="00944BC3"/>
    <w:rsid w:val="00945A65"/>
    <w:rsid w:val="00963620"/>
    <w:rsid w:val="009733FF"/>
    <w:rsid w:val="00974D44"/>
    <w:rsid w:val="00976F9C"/>
    <w:rsid w:val="00987A0C"/>
    <w:rsid w:val="009922A8"/>
    <w:rsid w:val="00997FA6"/>
    <w:rsid w:val="009B00BD"/>
    <w:rsid w:val="009B1219"/>
    <w:rsid w:val="009C1A50"/>
    <w:rsid w:val="009C407B"/>
    <w:rsid w:val="009C60B7"/>
    <w:rsid w:val="009E0736"/>
    <w:rsid w:val="009E103D"/>
    <w:rsid w:val="009F1033"/>
    <w:rsid w:val="009F3C84"/>
    <w:rsid w:val="009F4AE8"/>
    <w:rsid w:val="009F546D"/>
    <w:rsid w:val="00A051B7"/>
    <w:rsid w:val="00A07C71"/>
    <w:rsid w:val="00A10C42"/>
    <w:rsid w:val="00A128B7"/>
    <w:rsid w:val="00A137F1"/>
    <w:rsid w:val="00A14492"/>
    <w:rsid w:val="00A15A63"/>
    <w:rsid w:val="00A21AB7"/>
    <w:rsid w:val="00A21D76"/>
    <w:rsid w:val="00A231AE"/>
    <w:rsid w:val="00A269BC"/>
    <w:rsid w:val="00A32803"/>
    <w:rsid w:val="00A3598B"/>
    <w:rsid w:val="00A40221"/>
    <w:rsid w:val="00A40DA0"/>
    <w:rsid w:val="00A40E82"/>
    <w:rsid w:val="00A46D48"/>
    <w:rsid w:val="00A47E96"/>
    <w:rsid w:val="00A50FB9"/>
    <w:rsid w:val="00A6035B"/>
    <w:rsid w:val="00A62AB5"/>
    <w:rsid w:val="00A905A1"/>
    <w:rsid w:val="00A907D6"/>
    <w:rsid w:val="00A91662"/>
    <w:rsid w:val="00A97F0C"/>
    <w:rsid w:val="00AA3D54"/>
    <w:rsid w:val="00AA61CE"/>
    <w:rsid w:val="00AC18E8"/>
    <w:rsid w:val="00AC4216"/>
    <w:rsid w:val="00AD4F36"/>
    <w:rsid w:val="00AF46C3"/>
    <w:rsid w:val="00B02145"/>
    <w:rsid w:val="00B0499D"/>
    <w:rsid w:val="00B10985"/>
    <w:rsid w:val="00B10B6D"/>
    <w:rsid w:val="00B12487"/>
    <w:rsid w:val="00B13498"/>
    <w:rsid w:val="00B27A47"/>
    <w:rsid w:val="00B3088C"/>
    <w:rsid w:val="00B31802"/>
    <w:rsid w:val="00B36083"/>
    <w:rsid w:val="00B36AC8"/>
    <w:rsid w:val="00B36D6D"/>
    <w:rsid w:val="00B4060A"/>
    <w:rsid w:val="00B534A0"/>
    <w:rsid w:val="00B71313"/>
    <w:rsid w:val="00B762F9"/>
    <w:rsid w:val="00B85EC4"/>
    <w:rsid w:val="00B93582"/>
    <w:rsid w:val="00B941CA"/>
    <w:rsid w:val="00B96796"/>
    <w:rsid w:val="00BA1C89"/>
    <w:rsid w:val="00BB0E01"/>
    <w:rsid w:val="00BB1E66"/>
    <w:rsid w:val="00BB24DE"/>
    <w:rsid w:val="00BB457A"/>
    <w:rsid w:val="00BC51CF"/>
    <w:rsid w:val="00BD6937"/>
    <w:rsid w:val="00BE0E2B"/>
    <w:rsid w:val="00BE6BC3"/>
    <w:rsid w:val="00BF1D01"/>
    <w:rsid w:val="00BF317E"/>
    <w:rsid w:val="00C001A0"/>
    <w:rsid w:val="00C06F76"/>
    <w:rsid w:val="00C146B6"/>
    <w:rsid w:val="00C156CA"/>
    <w:rsid w:val="00C208D0"/>
    <w:rsid w:val="00C24D56"/>
    <w:rsid w:val="00C31F11"/>
    <w:rsid w:val="00C34B1F"/>
    <w:rsid w:val="00C37216"/>
    <w:rsid w:val="00C40576"/>
    <w:rsid w:val="00C40DE7"/>
    <w:rsid w:val="00C40F36"/>
    <w:rsid w:val="00C43F27"/>
    <w:rsid w:val="00C47CDA"/>
    <w:rsid w:val="00C51EF7"/>
    <w:rsid w:val="00C57039"/>
    <w:rsid w:val="00C57C6F"/>
    <w:rsid w:val="00C60177"/>
    <w:rsid w:val="00C61E86"/>
    <w:rsid w:val="00C623C0"/>
    <w:rsid w:val="00C627CC"/>
    <w:rsid w:val="00C62AFC"/>
    <w:rsid w:val="00C63060"/>
    <w:rsid w:val="00C738BA"/>
    <w:rsid w:val="00C750C5"/>
    <w:rsid w:val="00C800FE"/>
    <w:rsid w:val="00C804E7"/>
    <w:rsid w:val="00C8113D"/>
    <w:rsid w:val="00C8497B"/>
    <w:rsid w:val="00C878DB"/>
    <w:rsid w:val="00C93DE7"/>
    <w:rsid w:val="00C9542A"/>
    <w:rsid w:val="00C96B79"/>
    <w:rsid w:val="00C97C03"/>
    <w:rsid w:val="00CA6F84"/>
    <w:rsid w:val="00CB3476"/>
    <w:rsid w:val="00CC06AD"/>
    <w:rsid w:val="00CC3207"/>
    <w:rsid w:val="00CC5080"/>
    <w:rsid w:val="00CC7021"/>
    <w:rsid w:val="00CE2568"/>
    <w:rsid w:val="00CE4348"/>
    <w:rsid w:val="00CF2E85"/>
    <w:rsid w:val="00D02FCE"/>
    <w:rsid w:val="00D04AE4"/>
    <w:rsid w:val="00D113DF"/>
    <w:rsid w:val="00D167A0"/>
    <w:rsid w:val="00D20D87"/>
    <w:rsid w:val="00D31E9C"/>
    <w:rsid w:val="00D44664"/>
    <w:rsid w:val="00D52801"/>
    <w:rsid w:val="00D52A13"/>
    <w:rsid w:val="00D52BA1"/>
    <w:rsid w:val="00D57303"/>
    <w:rsid w:val="00D61FB4"/>
    <w:rsid w:val="00D62048"/>
    <w:rsid w:val="00D66357"/>
    <w:rsid w:val="00D813EC"/>
    <w:rsid w:val="00D8353B"/>
    <w:rsid w:val="00D8752A"/>
    <w:rsid w:val="00D91E28"/>
    <w:rsid w:val="00D94117"/>
    <w:rsid w:val="00DA030C"/>
    <w:rsid w:val="00DA2431"/>
    <w:rsid w:val="00DA53B5"/>
    <w:rsid w:val="00DB333D"/>
    <w:rsid w:val="00DB5DB7"/>
    <w:rsid w:val="00DC380B"/>
    <w:rsid w:val="00DC60BB"/>
    <w:rsid w:val="00DC6EA4"/>
    <w:rsid w:val="00DC7CF5"/>
    <w:rsid w:val="00DD1A3E"/>
    <w:rsid w:val="00DD3E84"/>
    <w:rsid w:val="00DE40B5"/>
    <w:rsid w:val="00DF4FFF"/>
    <w:rsid w:val="00E015C2"/>
    <w:rsid w:val="00E02D7E"/>
    <w:rsid w:val="00E04CCF"/>
    <w:rsid w:val="00E07014"/>
    <w:rsid w:val="00E20458"/>
    <w:rsid w:val="00E2154C"/>
    <w:rsid w:val="00E22BA8"/>
    <w:rsid w:val="00E24C52"/>
    <w:rsid w:val="00E30A0C"/>
    <w:rsid w:val="00E32BB5"/>
    <w:rsid w:val="00E4124E"/>
    <w:rsid w:val="00E43299"/>
    <w:rsid w:val="00E51B9F"/>
    <w:rsid w:val="00E51E91"/>
    <w:rsid w:val="00E57C35"/>
    <w:rsid w:val="00E62156"/>
    <w:rsid w:val="00E7689E"/>
    <w:rsid w:val="00E76D9D"/>
    <w:rsid w:val="00E771CA"/>
    <w:rsid w:val="00E7753F"/>
    <w:rsid w:val="00E86EE8"/>
    <w:rsid w:val="00E965C6"/>
    <w:rsid w:val="00EA2320"/>
    <w:rsid w:val="00EA306C"/>
    <w:rsid w:val="00EA5266"/>
    <w:rsid w:val="00EA5686"/>
    <w:rsid w:val="00EB1A3B"/>
    <w:rsid w:val="00EB6486"/>
    <w:rsid w:val="00EC4644"/>
    <w:rsid w:val="00EC5BEF"/>
    <w:rsid w:val="00EC65D2"/>
    <w:rsid w:val="00EC68DF"/>
    <w:rsid w:val="00EC6CAD"/>
    <w:rsid w:val="00ED06CC"/>
    <w:rsid w:val="00ED0CDD"/>
    <w:rsid w:val="00EE0750"/>
    <w:rsid w:val="00EE1BBE"/>
    <w:rsid w:val="00EF690A"/>
    <w:rsid w:val="00EF6A8C"/>
    <w:rsid w:val="00F00413"/>
    <w:rsid w:val="00F04AE0"/>
    <w:rsid w:val="00F04FF3"/>
    <w:rsid w:val="00F07159"/>
    <w:rsid w:val="00F11C5D"/>
    <w:rsid w:val="00F13BE7"/>
    <w:rsid w:val="00F20E38"/>
    <w:rsid w:val="00F21015"/>
    <w:rsid w:val="00F212AC"/>
    <w:rsid w:val="00F2140D"/>
    <w:rsid w:val="00F24BAC"/>
    <w:rsid w:val="00F3251A"/>
    <w:rsid w:val="00F42303"/>
    <w:rsid w:val="00F4470C"/>
    <w:rsid w:val="00F4757E"/>
    <w:rsid w:val="00F53DDE"/>
    <w:rsid w:val="00F55275"/>
    <w:rsid w:val="00F61036"/>
    <w:rsid w:val="00F62CCC"/>
    <w:rsid w:val="00F63603"/>
    <w:rsid w:val="00F65747"/>
    <w:rsid w:val="00F6616D"/>
    <w:rsid w:val="00F722D8"/>
    <w:rsid w:val="00F72E9E"/>
    <w:rsid w:val="00F8478A"/>
    <w:rsid w:val="00F91650"/>
    <w:rsid w:val="00F95254"/>
    <w:rsid w:val="00FA4010"/>
    <w:rsid w:val="00FA4513"/>
    <w:rsid w:val="00FD033A"/>
    <w:rsid w:val="00FD093C"/>
    <w:rsid w:val="00FD0C26"/>
    <w:rsid w:val="00FD6CFE"/>
    <w:rsid w:val="00FE36FC"/>
    <w:rsid w:val="00FF2F7F"/>
    <w:rsid w:val="00FF4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10BBC"/>
  <w15:chartTrackingRefBased/>
  <w15:docId w15:val="{09BA9056-CC06-4838-BCC7-0FA49BF1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6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88C"/>
    <w:pPr>
      <w:ind w:left="720"/>
      <w:contextualSpacing/>
    </w:pPr>
  </w:style>
  <w:style w:type="table" w:styleId="TableGrid">
    <w:name w:val="Table Grid"/>
    <w:basedOn w:val="TableNormal"/>
    <w:uiPriority w:val="39"/>
    <w:rsid w:val="008253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53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3F5"/>
    <w:rPr>
      <w:sz w:val="20"/>
      <w:szCs w:val="20"/>
    </w:rPr>
  </w:style>
  <w:style w:type="character" w:styleId="FootnoteReference">
    <w:name w:val="footnote reference"/>
    <w:basedOn w:val="DefaultParagraphFont"/>
    <w:uiPriority w:val="99"/>
    <w:semiHidden/>
    <w:unhideWhenUsed/>
    <w:rsid w:val="008253F5"/>
    <w:rPr>
      <w:vertAlign w:val="superscript"/>
    </w:rPr>
  </w:style>
  <w:style w:type="character" w:styleId="Hyperlink">
    <w:name w:val="Hyperlink"/>
    <w:basedOn w:val="DefaultParagraphFont"/>
    <w:uiPriority w:val="99"/>
    <w:unhideWhenUsed/>
    <w:rsid w:val="008253F5"/>
    <w:rPr>
      <w:color w:val="0563C1" w:themeColor="hyperlink"/>
      <w:u w:val="single"/>
    </w:rPr>
  </w:style>
  <w:style w:type="character" w:styleId="UnresolvedMention">
    <w:name w:val="Unresolved Mention"/>
    <w:basedOn w:val="DefaultParagraphFont"/>
    <w:uiPriority w:val="99"/>
    <w:semiHidden/>
    <w:unhideWhenUsed/>
    <w:rsid w:val="005163D0"/>
    <w:rPr>
      <w:color w:val="605E5C"/>
      <w:shd w:val="clear" w:color="auto" w:fill="E1DFDD"/>
    </w:rPr>
  </w:style>
  <w:style w:type="paragraph" w:styleId="NoSpacing">
    <w:name w:val="No Spacing"/>
    <w:uiPriority w:val="1"/>
    <w:qFormat/>
    <w:rsid w:val="00403C1B"/>
    <w:pPr>
      <w:spacing w:after="0" w:line="240" w:lineRule="auto"/>
    </w:pPr>
    <w:rPr>
      <w:sz w:val="24"/>
      <w:szCs w:val="24"/>
    </w:rPr>
  </w:style>
  <w:style w:type="paragraph" w:styleId="Header">
    <w:name w:val="header"/>
    <w:basedOn w:val="Normal"/>
    <w:link w:val="HeaderChar"/>
    <w:uiPriority w:val="99"/>
    <w:semiHidden/>
    <w:unhideWhenUsed/>
    <w:rsid w:val="000D3F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3F6C"/>
  </w:style>
  <w:style w:type="paragraph" w:styleId="Footer">
    <w:name w:val="footer"/>
    <w:basedOn w:val="Normal"/>
    <w:link w:val="FooterChar"/>
    <w:uiPriority w:val="99"/>
    <w:semiHidden/>
    <w:unhideWhenUsed/>
    <w:rsid w:val="000D3F6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3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4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gov.texas.gov/uploads/files/press/SCAN_20210706130409.pdf" TargetMode="External"/><Relationship Id="rId3" Type="http://schemas.openxmlformats.org/officeDocument/2006/relationships/hyperlink" Target="https://www.theenergyalliance.com/research/subsidies-to-nowhere" TargetMode="External"/><Relationship Id="rId7" Type="http://schemas.openxmlformats.org/officeDocument/2006/relationships/hyperlink" Target="https://interchange.puc.texas.gov/Documents/52373_354_1195083.PDF" TargetMode="External"/><Relationship Id="rId2" Type="http://schemas.openxmlformats.org/officeDocument/2006/relationships/hyperlink" Target="https://cleanpower.org/wp-content/uploads/2022/08/ACP_StateFactSheet_Texas.pdf" TargetMode="External"/><Relationship Id="rId1" Type="http://schemas.openxmlformats.org/officeDocument/2006/relationships/hyperlink" Target="https://interchange.puc.texas.gov/search/documents/?controlNumber=54335&amp;itemNumber=2" TargetMode="External"/><Relationship Id="rId6" Type="http://schemas.openxmlformats.org/officeDocument/2006/relationships/hyperlink" Target="https://www.potomaceconomics.com/wp-content/uploads/2021/06/2020-ERCOT-State-of-the-Market-Report.pdf" TargetMode="External"/><Relationship Id="rId5" Type="http://schemas.openxmlformats.org/officeDocument/2006/relationships/hyperlink" Target="https://lifepowered.org/improving-the-ercot-grid-through-a-reliability-requirement-for-variable-generation/" TargetMode="External"/><Relationship Id="rId10" Type="http://schemas.openxmlformats.org/officeDocument/2006/relationships/hyperlink" Target="https://lifepowered.org/wp-content/uploads/2019/10/2019-08-PP-LP-Bennett-Green-New-Deal.pdf" TargetMode="External"/><Relationship Id="rId4" Type="http://schemas.openxmlformats.org/officeDocument/2006/relationships/hyperlink" Target="https://lifepowered.org/pushed-to-the-brink-the-2021-electric-grid-crisis-and-how-texas-is-responding/" TargetMode="External"/><Relationship Id="rId9" Type="http://schemas.openxmlformats.org/officeDocument/2006/relationships/hyperlink" Target="https://www.ferc.gov/media/february-2021-cold-weather-outages-texas-and-south-central-united-states-ferc-nerc-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F06A2-6CF2-4A15-A7B3-A2D20850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9</Pages>
  <Words>4223</Words>
  <Characters>24073</Characters>
  <Application>Microsoft Office Word</Application>
  <DocSecurity>0</DocSecurity>
  <Lines>200</Lines>
  <Paragraphs>56</Paragraphs>
  <ScaleCrop>false</ScaleCrop>
  <Company/>
  <LinksUpToDate>false</LinksUpToDate>
  <CharactersWithSpaces>28240</CharactersWithSpaces>
  <SharedDoc>false</SharedDoc>
  <HLinks>
    <vt:vector size="60" baseType="variant">
      <vt:variant>
        <vt:i4>6684780</vt:i4>
      </vt:variant>
      <vt:variant>
        <vt:i4>27</vt:i4>
      </vt:variant>
      <vt:variant>
        <vt:i4>0</vt:i4>
      </vt:variant>
      <vt:variant>
        <vt:i4>5</vt:i4>
      </vt:variant>
      <vt:variant>
        <vt:lpwstr>https://lifepowered.org/wp-content/uploads/2019/10/2019-08-PP-LP-Bennett-Green-New-Deal.pdf</vt:lpwstr>
      </vt:variant>
      <vt:variant>
        <vt:lpwstr/>
      </vt:variant>
      <vt:variant>
        <vt:i4>4390989</vt:i4>
      </vt:variant>
      <vt:variant>
        <vt:i4>24</vt:i4>
      </vt:variant>
      <vt:variant>
        <vt:i4>0</vt:i4>
      </vt:variant>
      <vt:variant>
        <vt:i4>5</vt:i4>
      </vt:variant>
      <vt:variant>
        <vt:lpwstr>https://www.ferc.gov/media/february-2021-cold-weather-outages-texas-and-south-central-united-states-ferc-nerc-and</vt:lpwstr>
      </vt:variant>
      <vt:variant>
        <vt:lpwstr/>
      </vt:variant>
      <vt:variant>
        <vt:i4>1376296</vt:i4>
      </vt:variant>
      <vt:variant>
        <vt:i4>21</vt:i4>
      </vt:variant>
      <vt:variant>
        <vt:i4>0</vt:i4>
      </vt:variant>
      <vt:variant>
        <vt:i4>5</vt:i4>
      </vt:variant>
      <vt:variant>
        <vt:lpwstr>https://gov.texas.gov/uploads/files/press/SCAN_20210706130409.pdf</vt:lpwstr>
      </vt:variant>
      <vt:variant>
        <vt:lpwstr/>
      </vt:variant>
      <vt:variant>
        <vt:i4>131087</vt:i4>
      </vt:variant>
      <vt:variant>
        <vt:i4>18</vt:i4>
      </vt:variant>
      <vt:variant>
        <vt:i4>0</vt:i4>
      </vt:variant>
      <vt:variant>
        <vt:i4>5</vt:i4>
      </vt:variant>
      <vt:variant>
        <vt:lpwstr>https://interchange.puc.texas.gov/Documents/52373_354_1195083.PDF</vt:lpwstr>
      </vt:variant>
      <vt:variant>
        <vt:lpwstr/>
      </vt:variant>
      <vt:variant>
        <vt:i4>5505095</vt:i4>
      </vt:variant>
      <vt:variant>
        <vt:i4>15</vt:i4>
      </vt:variant>
      <vt:variant>
        <vt:i4>0</vt:i4>
      </vt:variant>
      <vt:variant>
        <vt:i4>5</vt:i4>
      </vt:variant>
      <vt:variant>
        <vt:lpwstr>https://www.potomaceconomics.com/wp-content/uploads/2021/06/2020-ERCOT-State-of-the-Market-Report.pdf</vt:lpwstr>
      </vt:variant>
      <vt:variant>
        <vt:lpwstr/>
      </vt:variant>
      <vt:variant>
        <vt:i4>8126513</vt:i4>
      </vt:variant>
      <vt:variant>
        <vt:i4>12</vt:i4>
      </vt:variant>
      <vt:variant>
        <vt:i4>0</vt:i4>
      </vt:variant>
      <vt:variant>
        <vt:i4>5</vt:i4>
      </vt:variant>
      <vt:variant>
        <vt:lpwstr>https://lifepowered.org/improving-the-ercot-grid-through-a-reliability-requirement-for-variable-generation/</vt:lpwstr>
      </vt:variant>
      <vt:variant>
        <vt:lpwstr/>
      </vt:variant>
      <vt:variant>
        <vt:i4>6881313</vt:i4>
      </vt:variant>
      <vt:variant>
        <vt:i4>9</vt:i4>
      </vt:variant>
      <vt:variant>
        <vt:i4>0</vt:i4>
      </vt:variant>
      <vt:variant>
        <vt:i4>5</vt:i4>
      </vt:variant>
      <vt:variant>
        <vt:lpwstr>https://lifepowered.org/pushed-to-the-brink-the-2021-electric-grid-crisis-and-how-texas-is-responding/</vt:lpwstr>
      </vt:variant>
      <vt:variant>
        <vt:lpwstr/>
      </vt:variant>
      <vt:variant>
        <vt:i4>7471137</vt:i4>
      </vt:variant>
      <vt:variant>
        <vt:i4>6</vt:i4>
      </vt:variant>
      <vt:variant>
        <vt:i4>0</vt:i4>
      </vt:variant>
      <vt:variant>
        <vt:i4>5</vt:i4>
      </vt:variant>
      <vt:variant>
        <vt:lpwstr>https://www.theenergyalliance.com/research/subsidies-to-nowhere</vt:lpwstr>
      </vt:variant>
      <vt:variant>
        <vt:lpwstr/>
      </vt:variant>
      <vt:variant>
        <vt:i4>1704014</vt:i4>
      </vt:variant>
      <vt:variant>
        <vt:i4>3</vt:i4>
      </vt:variant>
      <vt:variant>
        <vt:i4>0</vt:i4>
      </vt:variant>
      <vt:variant>
        <vt:i4>5</vt:i4>
      </vt:variant>
      <vt:variant>
        <vt:lpwstr>https://cleanpower.org/wp-content/uploads/2022/08/ACP_StateFactSheet_Texas.pdf</vt:lpwstr>
      </vt:variant>
      <vt:variant>
        <vt:lpwstr/>
      </vt:variant>
      <vt:variant>
        <vt:i4>1507417</vt:i4>
      </vt:variant>
      <vt:variant>
        <vt:i4>0</vt:i4>
      </vt:variant>
      <vt:variant>
        <vt:i4>0</vt:i4>
      </vt:variant>
      <vt:variant>
        <vt:i4>5</vt:i4>
      </vt:variant>
      <vt:variant>
        <vt:lpwstr>https://interchange.puc.texas.gov/search/documents/?controlNumber=54335&amp;itemNumber=2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Bennett</dc:creator>
  <cp:keywords/>
  <dc:description/>
  <cp:lastModifiedBy>Brent Bennett</cp:lastModifiedBy>
  <cp:revision>535</cp:revision>
  <dcterms:created xsi:type="dcterms:W3CDTF">2022-12-07T21:46:00Z</dcterms:created>
  <dcterms:modified xsi:type="dcterms:W3CDTF">2022-12-15T17:08:00Z</dcterms:modified>
</cp:coreProperties>
</file>